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B6B5A"/>
          <w:sz w:val="22"/>
        </w:rPr>
        <w:t>WEEK 1 • PLANNING DOCUMENT</w:t>
      </w:r>
    </w:p>
    <w:p>
      <w:pPr>
        <w:spacing w:before="400" w:after="80"/>
        <w:jc w:val="center"/>
      </w:pPr>
      <w:r>
        <w:rPr>
          <w:rFonts w:ascii="Arial" w:hAnsi="Arial"/>
          <w:b/>
          <w:color w:val="16324F"/>
          <w:sz w:val="62"/>
        </w:rPr>
        <w:t>AGRIBUSINESS</w:t>
        <w:br/>
        <w:t>DATA ANALYSIS</w:t>
      </w:r>
    </w:p>
    <w:p>
      <w:pPr>
        <w:spacing w:after="360"/>
        <w:jc w:val="center"/>
      </w:pPr>
      <w:r>
        <w:rPr>
          <w:color w:val="1B6B5A"/>
          <w:sz w:val="26"/>
        </w:rPr>
        <w:t>A structured plan for collecting, cleaning, analysing and forecasting public agricultural data</w:t>
      </w:r>
    </w:p>
    <w:tbl>
      <w:tblPr>
        <w:tblW w:type="auto" w:w="0"/>
        <w:jc w:val="center"/>
        <w:tblLook w:firstColumn="1" w:firstRow="1" w:lastColumn="0" w:lastRow="0" w:noHBand="0" w:noVBand="1" w:val="04A0"/>
      </w:tblPr>
      <w:tblGrid>
        <w:gridCol w:w="9835"/>
      </w:tblGrid>
      <w:tr>
        <w:tc>
          <w:tcPr>
            <w:tcW w:type="dxa" w:w="9835"/>
            <w:shd w:fill="F2A900"/>
          </w:tcPr>
          <w:p>
            <w:r/>
          </w:p>
        </w:tc>
      </w:tr>
    </w:tbl>
    <w:p>
      <w:pPr>
        <w:spacing w:after="280"/>
      </w:pPr>
    </w:p>
    <w:tbl>
      <w:tblPr>
        <w:tblW w:type="auto" w:w="0"/>
        <w:jc w:val="center"/>
        <w:tblLayout w:type="fixed"/>
        <w:tblLook w:firstColumn="1" w:firstRow="1" w:lastColumn="0" w:lastRow="0" w:noHBand="0" w:noVBand="1" w:val="04A0"/>
      </w:tblPr>
      <w:tblGrid>
        <w:gridCol w:w="4917"/>
        <w:gridCol w:w="4917"/>
      </w:tblGrid>
      <w:tr>
        <w:tc>
          <w:tcPr>
            <w:tcW w:type="dxa" w:w="2376"/>
            <w:vAlign w:val="center"/>
            <w:tcMar>
              <w:top w:w="150" w:type="dxa"/>
              <w:start w:w="160" w:type="dxa"/>
              <w:bottom w:w="150" w:type="dxa"/>
              <w:end w:w="160" w:type="dxa"/>
            </w:tcMar>
            <w:shd w:fill="E7F3EF"/>
          </w:tcPr>
          <w:p>
            <w:pPr>
              <w:spacing w:after="0" w:before="0"/>
            </w:pPr>
            <w:r/>
            <w:r>
              <w:rPr>
                <w:rFonts w:ascii="Arial" w:hAnsi="Arial"/>
                <w:b/>
                <w:color w:val="1B6B5A"/>
                <w:sz w:val="18"/>
              </w:rPr>
              <w:t>STUDENT NAME</w:t>
            </w:r>
          </w:p>
        </w:tc>
        <w:tc>
          <w:tcPr>
            <w:tcW w:type="dxa" w:w="6408"/>
            <w:vAlign w:val="center"/>
            <w:tcMar>
              <w:top w:w="150" w:type="dxa"/>
              <w:start w:w="160" w:type="dxa"/>
              <w:bottom w:w="150" w:type="dxa"/>
              <w:end w:w="160" w:type="dxa"/>
            </w:tcMar>
            <w:shd w:fill="F8FAFB"/>
          </w:tcPr>
          <w:p>
            <w:pPr>
              <w:spacing w:after="0" w:before="0"/>
            </w:pPr>
            <w:r/>
            <w:r>
              <w:rPr>
                <w:rFonts w:ascii="Arial" w:hAnsi="Arial"/>
                <w:b w:val="0"/>
                <w:color w:val="16324F"/>
                <w:sz w:val="20"/>
              </w:rPr>
              <w:t>SANJAY H H</w:t>
            </w:r>
          </w:p>
        </w:tc>
      </w:tr>
      <w:tr>
        <w:tc>
          <w:tcPr>
            <w:tcW w:type="dxa" w:w="2376"/>
            <w:vAlign w:val="center"/>
            <w:tcMar>
              <w:top w:w="150" w:type="dxa"/>
              <w:start w:w="160" w:type="dxa"/>
              <w:bottom w:w="150" w:type="dxa"/>
              <w:end w:w="160" w:type="dxa"/>
            </w:tcMar>
            <w:shd w:fill="E7F3EF"/>
          </w:tcPr>
          <w:p>
            <w:pPr>
              <w:spacing w:after="0" w:before="0"/>
            </w:pPr>
            <w:r/>
            <w:r>
              <w:rPr>
                <w:rFonts w:ascii="Arial" w:hAnsi="Arial"/>
                <w:b/>
                <w:color w:val="1B6B5A"/>
                <w:sz w:val="18"/>
              </w:rPr>
              <w:t>USN</w:t>
            </w:r>
          </w:p>
        </w:tc>
        <w:tc>
          <w:tcPr>
            <w:tcW w:type="dxa" w:w="6408"/>
            <w:vAlign w:val="center"/>
            <w:tcMar>
              <w:top w:w="150" w:type="dxa"/>
              <w:start w:w="160" w:type="dxa"/>
              <w:bottom w:w="150" w:type="dxa"/>
              <w:end w:w="160" w:type="dxa"/>
            </w:tcMar>
            <w:shd w:fill="F8FAFB"/>
          </w:tcPr>
          <w:p>
            <w:pPr>
              <w:spacing w:after="0" w:before="0"/>
            </w:pPr>
            <w:r/>
            <w:r>
              <w:rPr>
                <w:rFonts w:ascii="Arial" w:hAnsi="Arial"/>
                <w:b w:val="0"/>
                <w:color w:val="16324F"/>
                <w:sz w:val="20"/>
              </w:rPr>
              <w:t>1MJ24CD041</w:t>
            </w:r>
          </w:p>
        </w:tc>
      </w:tr>
      <w:tr>
        <w:tc>
          <w:tcPr>
            <w:tcW w:type="dxa" w:w="2376"/>
            <w:vAlign w:val="center"/>
            <w:tcMar>
              <w:top w:w="150" w:type="dxa"/>
              <w:start w:w="160" w:type="dxa"/>
              <w:bottom w:w="150" w:type="dxa"/>
              <w:end w:w="160" w:type="dxa"/>
            </w:tcMar>
            <w:shd w:fill="E7F3EF"/>
          </w:tcPr>
          <w:p>
            <w:pPr>
              <w:spacing w:after="0" w:before="0"/>
            </w:pPr>
            <w:r/>
            <w:r>
              <w:rPr>
                <w:rFonts w:ascii="Arial" w:hAnsi="Arial"/>
                <w:b/>
                <w:color w:val="1B6B5A"/>
                <w:sz w:val="18"/>
              </w:rPr>
              <w:t>PROGRAM</w:t>
            </w:r>
          </w:p>
        </w:tc>
        <w:tc>
          <w:tcPr>
            <w:tcW w:type="dxa" w:w="6408"/>
            <w:vAlign w:val="center"/>
            <w:tcMar>
              <w:top w:w="150" w:type="dxa"/>
              <w:start w:w="160" w:type="dxa"/>
              <w:bottom w:w="150" w:type="dxa"/>
              <w:end w:w="160" w:type="dxa"/>
            </w:tcMar>
            <w:shd w:fill="F8FAFB"/>
          </w:tcPr>
          <w:p>
            <w:pPr>
              <w:spacing w:after="0" w:before="0"/>
            </w:pPr>
            <w:r/>
            <w:r>
              <w:rPr>
                <w:rFonts w:ascii="Arial" w:hAnsi="Arial"/>
                <w:b w:val="0"/>
                <w:color w:val="16324F"/>
                <w:sz w:val="20"/>
              </w:rPr>
              <w:t>CSE – Data Science</w:t>
            </w:r>
          </w:p>
        </w:tc>
      </w:tr>
      <w:tr>
        <w:tc>
          <w:tcPr>
            <w:tcW w:type="dxa" w:w="2376"/>
            <w:vAlign w:val="center"/>
            <w:tcMar>
              <w:top w:w="150" w:type="dxa"/>
              <w:start w:w="160" w:type="dxa"/>
              <w:bottom w:w="150" w:type="dxa"/>
              <w:end w:w="160" w:type="dxa"/>
            </w:tcMar>
            <w:shd w:fill="E7F3EF"/>
          </w:tcPr>
          <w:p>
            <w:pPr>
              <w:spacing w:after="0" w:before="0"/>
            </w:pPr>
            <w:r/>
            <w:r>
              <w:rPr>
                <w:rFonts w:ascii="Arial" w:hAnsi="Arial"/>
                <w:b/>
                <w:color w:val="1B6B5A"/>
                <w:sz w:val="18"/>
              </w:rPr>
              <w:t>SEMESTER</w:t>
            </w:r>
          </w:p>
        </w:tc>
        <w:tc>
          <w:tcPr>
            <w:tcW w:type="dxa" w:w="6408"/>
            <w:vAlign w:val="center"/>
            <w:tcMar>
              <w:top w:w="150" w:type="dxa"/>
              <w:start w:w="160" w:type="dxa"/>
              <w:bottom w:w="150" w:type="dxa"/>
              <w:end w:w="160" w:type="dxa"/>
            </w:tcMar>
            <w:shd w:fill="F8FAFB"/>
          </w:tcPr>
          <w:p>
            <w:pPr>
              <w:spacing w:after="0" w:before="0"/>
            </w:pPr>
            <w:r/>
            <w:r>
              <w:rPr>
                <w:rFonts w:ascii="Arial" w:hAnsi="Arial"/>
                <w:b w:val="0"/>
                <w:color w:val="16324F"/>
                <w:sz w:val="20"/>
              </w:rPr>
              <w:t>5th Semester</w:t>
            </w:r>
          </w:p>
        </w:tc>
      </w:tr>
      <w:tr>
        <w:tc>
          <w:tcPr>
            <w:tcW w:type="dxa" w:w="2376"/>
            <w:vAlign w:val="center"/>
            <w:tcMar>
              <w:top w:w="150" w:type="dxa"/>
              <w:start w:w="160" w:type="dxa"/>
              <w:bottom w:w="150" w:type="dxa"/>
              <w:end w:w="160" w:type="dxa"/>
            </w:tcMar>
            <w:shd w:fill="E7F3EF"/>
          </w:tcPr>
          <w:p>
            <w:pPr>
              <w:spacing w:after="0" w:before="0"/>
            </w:pPr>
            <w:r/>
            <w:r>
              <w:rPr>
                <w:rFonts w:ascii="Arial" w:hAnsi="Arial"/>
                <w:b/>
                <w:color w:val="1B6B5A"/>
                <w:sz w:val="18"/>
              </w:rPr>
              <w:t>INSTITUTION</w:t>
            </w:r>
          </w:p>
        </w:tc>
        <w:tc>
          <w:tcPr>
            <w:tcW w:type="dxa" w:w="6408"/>
            <w:vAlign w:val="center"/>
            <w:tcMar>
              <w:top w:w="150" w:type="dxa"/>
              <w:start w:w="160" w:type="dxa"/>
              <w:bottom w:w="150" w:type="dxa"/>
              <w:end w:w="160" w:type="dxa"/>
            </w:tcMar>
            <w:shd w:fill="F8FAFB"/>
          </w:tcPr>
          <w:p>
            <w:pPr>
              <w:spacing w:after="0" w:before="0"/>
            </w:pPr>
            <w:r/>
            <w:r>
              <w:rPr>
                <w:rFonts w:ascii="Arial" w:hAnsi="Arial"/>
                <w:b w:val="0"/>
                <w:color w:val="16324F"/>
                <w:sz w:val="20"/>
              </w:rPr>
              <w:t>MVJ College of Engineering, Bengaluru</w:t>
            </w:r>
          </w:p>
        </w:tc>
      </w:tr>
    </w:tbl>
    <w:p>
      <w:pPr>
        <w:spacing w:before="700"/>
        <w:jc w:val="center"/>
      </w:pPr>
      <w:r>
        <w:rPr>
          <w:i/>
          <w:color w:val="557080"/>
          <w:sz w:val="20"/>
        </w:rPr>
        <w:t>Prepared for the Week 1 Task: Agribusiness Data Analysis Planning</w:t>
      </w:r>
    </w:p>
    <w:p>
      <w:pPr>
        <w:jc w:val="center"/>
      </w:pPr>
      <w:r>
        <w:rPr>
          <w:b/>
          <w:color w:val="1B6B5A"/>
          <w:sz w:val="18"/>
        </w:rPr>
        <w:t>Proposed project schedule: 12 October – 6 December 2026</w:t>
      </w:r>
    </w:p>
    <w:p>
      <w:r>
        <w:br w:type="page"/>
      </w:r>
    </w:p>
    <w:p>
      <w:pPr>
        <w:pStyle w:val="Heading1"/>
        <w:keepNext/>
        <w:spacing w:before="180" w:after="100"/>
      </w:pPr>
      <w:r>
        <w:t>Executive Summary</w:t>
      </w:r>
    </w:p>
    <w:p>
      <w:r>
        <w:t>This document proposes a structured and reproducible plan for collecting and analysing publicly available agribusiness data, with an emphasis on crop yield, agricultural market prices and resource-use indicators. The analysis will combine official crop statistics with market-price and arrivals records, rainfall information and selected international indicators. The purpose is to describe historical patterns, test whether production and weather indicators move alongside market prices, and compare simple forecasting baselines before making any predictive claims.</w:t>
      </w:r>
    </w:p>
    <w:p>
      <w:r>
        <w:t>The project will begin with a manageable pilot: selected Indian crops and a Karnataka market subset where data completeness can be confirmed. Annual crop statistics will establish production and yield trends; daily or market-day records will be aggregated to weekly and monthly levels for price analysis. Since the supplied crop-statistics table contains area, production and yield—but not prices or farm-level water use—separate data sources are required for pricing and resource-use analysis.</w:t>
      </w:r>
    </w:p>
    <w:tbl>
      <w:tblPr>
        <w:tblW w:type="auto" w:w="0"/>
        <w:jc w:val="center"/>
        <w:tblLook w:firstColumn="1" w:firstRow="1" w:lastColumn="0" w:lastRow="0" w:noHBand="0" w:noVBand="1" w:val="04A0"/>
      </w:tblPr>
      <w:tblGrid>
        <w:gridCol w:w="9835"/>
      </w:tblGrid>
      <w:tr>
        <w:tc>
          <w:tcPr>
            <w:tcW w:type="dxa" w:w="9835"/>
            <w:shd w:fill="E7F3EF"/>
            <w:tcMar>
              <w:top w:w="150" w:type="dxa"/>
              <w:start w:w="180" w:type="dxa"/>
              <w:bottom w:w="150" w:type="dxa"/>
              <w:end w:w="180" w:type="dxa"/>
            </w:tcMar>
          </w:tcPr>
          <w:p>
            <w:pPr>
              <w:spacing w:after="0"/>
            </w:pPr>
            <w:r/>
            <w:r>
              <w:rPr>
                <w:b/>
                <w:color w:val="1B6B5A"/>
                <w:sz w:val="18"/>
              </w:rPr>
              <w:t xml:space="preserve">Core principle  </w:t>
            </w:r>
            <w:r>
              <w:rPr>
                <w:color w:val="16324F"/>
                <w:sz w:val="18"/>
              </w:rPr>
              <w:t>Use public data, preserve source files, document every transformation, distinguish confirmed records from missing values, and treat forecast outputs as estimates with measurable error—not as guaranteed future prices.</w:t>
            </w:r>
          </w:p>
        </w:tc>
      </w:tr>
    </w:tbl>
    <w:p>
      <w:pPr>
        <w:spacing w:after="0"/>
      </w:pPr>
    </w:p>
    <w:p>
      <w:pPr>
        <w:pStyle w:val="Heading2"/>
        <w:keepNext/>
        <w:spacing w:before="120" w:after="60"/>
      </w:pPr>
      <w:r>
        <w:t>Objectives</w:t>
      </w:r>
    </w:p>
    <w:p>
      <w:pPr>
        <w:pStyle w:val="ListBullet"/>
        <w:keepLines/>
        <w:spacing w:after="60"/>
      </w:pPr>
      <w:r>
        <w:t>Define a clear research scope and a set of measurable questions for agribusiness trend analysis.</w:t>
      </w:r>
    </w:p>
    <w:p>
      <w:pPr>
        <w:pStyle w:val="ListBullet"/>
        <w:keepLines/>
        <w:spacing w:after="60"/>
      </w:pPr>
      <w:r>
        <w:t>Identify credible public data sources for crop production, market prices, arrivals, rainfall and selected resource indicators.</w:t>
      </w:r>
    </w:p>
    <w:p>
      <w:pPr>
        <w:pStyle w:val="ListBullet"/>
        <w:keepLines/>
        <w:spacing w:after="60"/>
      </w:pPr>
      <w:r>
        <w:t>Specify key metrics, units, data frequency and definitions before collecting data.</w:t>
      </w:r>
    </w:p>
    <w:p>
      <w:pPr>
        <w:pStyle w:val="ListBullet"/>
        <w:keepLines/>
        <w:spacing w:after="60"/>
      </w:pPr>
      <w:r>
        <w:t>Design a repeatable workflow for acquisition, quality checks, cleaning, integration, exploratory analysis and forecasting.</w:t>
      </w:r>
    </w:p>
    <w:p>
      <w:pPr>
        <w:pStyle w:val="ListBullet"/>
        <w:keepLines/>
        <w:spacing w:after="60"/>
      </w:pPr>
      <w:r>
        <w:t>Create a dated timeline with milestones, outputs and quality checks for the planning task and follow-on analysis.</w:t>
      </w:r>
    </w:p>
    <w:p>
      <w:pPr>
        <w:pStyle w:val="Heading2"/>
        <w:keepNext/>
        <w:spacing w:before="120" w:after="60"/>
      </w:pPr>
      <w:r>
        <w:t>How this document addresses the Week 1 brief</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5112"/>
            <w:shd w:fill="16324F"/>
            <w:vAlign w:val="center"/>
            <w:tcMar>
              <w:top w:w="90" w:type="dxa"/>
              <w:start w:w="100" w:type="dxa"/>
              <w:bottom w:w="90" w:type="dxa"/>
              <w:end w:w="100" w:type="dxa"/>
            </w:tcMar>
          </w:tcPr>
          <w:p>
            <w:pPr>
              <w:spacing w:after="0" w:before="0"/>
            </w:pPr>
            <w:r/>
            <w:r>
              <w:rPr>
                <w:rFonts w:ascii="Arial" w:hAnsi="Arial"/>
                <w:b/>
                <w:color w:val="FFFFFF"/>
                <w:sz w:val="17"/>
              </w:rPr>
              <w:t>Assignment requirement</w:t>
            </w:r>
          </w:p>
        </w:tc>
        <w:tc>
          <w:tcPr>
            <w:tcW w:type="dxa" w:w="3672"/>
            <w:shd w:fill="16324F"/>
            <w:vAlign w:val="center"/>
            <w:tcMar>
              <w:top w:w="90" w:type="dxa"/>
              <w:start w:w="100" w:type="dxa"/>
              <w:bottom w:w="90" w:type="dxa"/>
              <w:end w:w="100" w:type="dxa"/>
            </w:tcMar>
          </w:tcPr>
          <w:p>
            <w:pPr>
              <w:spacing w:after="0" w:before="0"/>
            </w:pPr>
            <w:r/>
            <w:r>
              <w:rPr>
                <w:rFonts w:ascii="Arial" w:hAnsi="Arial"/>
                <w:b/>
                <w:color w:val="FFFFFF"/>
                <w:sz w:val="17"/>
              </w:rPr>
              <w:t>Where addressed</w:t>
            </w:r>
          </w:p>
        </w:tc>
      </w:tr>
      <w:tr>
        <w:tc>
          <w:tcPr>
            <w:tcW w:type="dxa" w:w="5112"/>
            <w:vAlign w:val="center"/>
            <w:tcMar>
              <w:top w:w="90" w:type="dxa"/>
              <w:start w:w="100" w:type="dxa"/>
              <w:bottom w:w="90" w:type="dxa"/>
              <w:end w:w="100" w:type="dxa"/>
            </w:tcMar>
            <w:shd w:fill="FFFFFF"/>
          </w:tcPr>
          <w:p>
            <w:pPr>
              <w:spacing w:after="0" w:before="0"/>
            </w:pPr>
            <w:r/>
            <w:r>
              <w:rPr>
                <w:rFonts w:ascii="Arial" w:hAnsi="Arial"/>
                <w:b w:val="0"/>
                <w:color w:val="16324F"/>
                <w:sz w:val="17"/>
              </w:rPr>
              <w:t>Structured plan and research rationale</w:t>
            </w:r>
          </w:p>
        </w:tc>
        <w:tc>
          <w:tcPr>
            <w:tcW w:type="dxa" w:w="3672"/>
            <w:vAlign w:val="center"/>
            <w:tcMar>
              <w:top w:w="90" w:type="dxa"/>
              <w:start w:w="100" w:type="dxa"/>
              <w:bottom w:w="90" w:type="dxa"/>
              <w:end w:w="100" w:type="dxa"/>
            </w:tcMar>
            <w:shd w:fill="FFFFFF"/>
          </w:tcPr>
          <w:p>
            <w:pPr>
              <w:spacing w:after="0" w:before="0"/>
            </w:pPr>
            <w:r/>
            <w:r>
              <w:rPr>
                <w:rFonts w:ascii="Arial" w:hAnsi="Arial"/>
                <w:b w:val="0"/>
                <w:color w:val="16324F"/>
                <w:sz w:val="17"/>
              </w:rPr>
              <w:t>Sections 1–2</w:t>
            </w:r>
          </w:p>
        </w:tc>
      </w:tr>
      <w:tr>
        <w:tc>
          <w:tcPr>
            <w:tcW w:type="dxa" w:w="5112"/>
            <w:vAlign w:val="center"/>
            <w:tcMar>
              <w:top w:w="90" w:type="dxa"/>
              <w:start w:w="100" w:type="dxa"/>
              <w:bottom w:w="90" w:type="dxa"/>
              <w:end w:w="100" w:type="dxa"/>
            </w:tcMar>
            <w:shd w:fill="F5F8FA"/>
          </w:tcPr>
          <w:p>
            <w:pPr>
              <w:spacing w:after="0" w:before="0"/>
            </w:pPr>
            <w:r/>
            <w:r>
              <w:rPr>
                <w:rFonts w:ascii="Arial" w:hAnsi="Arial"/>
                <w:b w:val="0"/>
                <w:color w:val="16324F"/>
                <w:sz w:val="17"/>
              </w:rPr>
              <w:t>Public agricultural data sources</w:t>
            </w:r>
          </w:p>
        </w:tc>
        <w:tc>
          <w:tcPr>
            <w:tcW w:type="dxa" w:w="3672"/>
            <w:vAlign w:val="center"/>
            <w:tcMar>
              <w:top w:w="90" w:type="dxa"/>
              <w:start w:w="100" w:type="dxa"/>
              <w:bottom w:w="90" w:type="dxa"/>
              <w:end w:w="100" w:type="dxa"/>
            </w:tcMar>
            <w:shd w:fill="F5F8FA"/>
          </w:tcPr>
          <w:p>
            <w:pPr>
              <w:spacing w:after="0" w:before="0"/>
            </w:pPr>
            <w:r/>
            <w:r>
              <w:rPr>
                <w:rFonts w:ascii="Arial" w:hAnsi="Arial"/>
                <w:b w:val="0"/>
                <w:color w:val="16324F"/>
                <w:sz w:val="17"/>
              </w:rPr>
              <w:t>Section 2 and References</w:t>
            </w:r>
          </w:p>
        </w:tc>
      </w:tr>
      <w:tr>
        <w:tc>
          <w:tcPr>
            <w:tcW w:type="dxa" w:w="5112"/>
            <w:vAlign w:val="center"/>
            <w:tcMar>
              <w:top w:w="90" w:type="dxa"/>
              <w:start w:w="100" w:type="dxa"/>
              <w:bottom w:w="90" w:type="dxa"/>
              <w:end w:w="100" w:type="dxa"/>
            </w:tcMar>
            <w:shd w:fill="FFFFFF"/>
          </w:tcPr>
          <w:p>
            <w:pPr>
              <w:spacing w:after="0" w:before="0"/>
            </w:pPr>
            <w:r/>
            <w:r>
              <w:rPr>
                <w:rFonts w:ascii="Arial" w:hAnsi="Arial"/>
                <w:b w:val="0"/>
                <w:color w:val="16324F"/>
                <w:sz w:val="17"/>
              </w:rPr>
              <w:t>Crop yield, pricing and resource-use metrics</w:t>
            </w:r>
          </w:p>
        </w:tc>
        <w:tc>
          <w:tcPr>
            <w:tcW w:type="dxa" w:w="3672"/>
            <w:vAlign w:val="center"/>
            <w:tcMar>
              <w:top w:w="90" w:type="dxa"/>
              <w:start w:w="100" w:type="dxa"/>
              <w:bottom w:w="90" w:type="dxa"/>
              <w:end w:w="100" w:type="dxa"/>
            </w:tcMar>
            <w:shd w:fill="FFFFFF"/>
          </w:tcPr>
          <w:p>
            <w:pPr>
              <w:spacing w:after="0" w:before="0"/>
            </w:pPr>
            <w:r/>
            <w:r>
              <w:rPr>
                <w:rFonts w:ascii="Arial" w:hAnsi="Arial"/>
                <w:b w:val="0"/>
                <w:color w:val="16324F"/>
                <w:sz w:val="17"/>
              </w:rPr>
              <w:t>Section 3</w:t>
            </w:r>
          </w:p>
        </w:tc>
      </w:tr>
      <w:tr>
        <w:tc>
          <w:tcPr>
            <w:tcW w:type="dxa" w:w="5112"/>
            <w:vAlign w:val="center"/>
            <w:tcMar>
              <w:top w:w="90" w:type="dxa"/>
              <w:start w:w="100" w:type="dxa"/>
              <w:bottom w:w="90" w:type="dxa"/>
              <w:end w:w="100" w:type="dxa"/>
            </w:tcMar>
            <w:shd w:fill="F5F8FA"/>
          </w:tcPr>
          <w:p>
            <w:pPr>
              <w:spacing w:after="0" w:before="0"/>
            </w:pPr>
            <w:r/>
            <w:r>
              <w:rPr>
                <w:rFonts w:ascii="Arial" w:hAnsi="Arial"/>
                <w:b w:val="0"/>
                <w:color w:val="16324F"/>
                <w:sz w:val="17"/>
              </w:rPr>
              <w:t>Collection, cleaning and interpretation steps</w:t>
            </w:r>
          </w:p>
        </w:tc>
        <w:tc>
          <w:tcPr>
            <w:tcW w:type="dxa" w:w="3672"/>
            <w:vAlign w:val="center"/>
            <w:tcMar>
              <w:top w:w="90" w:type="dxa"/>
              <w:start w:w="100" w:type="dxa"/>
              <w:bottom w:w="90" w:type="dxa"/>
              <w:end w:w="100" w:type="dxa"/>
            </w:tcMar>
            <w:shd w:fill="F5F8FA"/>
          </w:tcPr>
          <w:p>
            <w:pPr>
              <w:spacing w:after="0" w:before="0"/>
            </w:pPr>
            <w:r/>
            <w:r>
              <w:rPr>
                <w:rFonts w:ascii="Arial" w:hAnsi="Arial"/>
                <w:b w:val="0"/>
                <w:color w:val="16324F"/>
                <w:sz w:val="17"/>
              </w:rPr>
              <w:t>Section 4</w:t>
            </w:r>
          </w:p>
        </w:tc>
      </w:tr>
      <w:tr>
        <w:tc>
          <w:tcPr>
            <w:tcW w:type="dxa" w:w="5112"/>
            <w:vAlign w:val="center"/>
            <w:tcMar>
              <w:top w:w="90" w:type="dxa"/>
              <w:start w:w="100" w:type="dxa"/>
              <w:bottom w:w="90" w:type="dxa"/>
              <w:end w:w="100" w:type="dxa"/>
            </w:tcMar>
            <w:shd w:fill="FFFFFF"/>
          </w:tcPr>
          <w:p>
            <w:pPr>
              <w:spacing w:after="0" w:before="0"/>
            </w:pPr>
            <w:r/>
            <w:r>
              <w:rPr>
                <w:rFonts w:ascii="Arial" w:hAnsi="Arial"/>
                <w:b w:val="0"/>
                <w:color w:val="16324F"/>
                <w:sz w:val="17"/>
              </w:rPr>
              <w:t>Forecasting methods with a worked example</w:t>
            </w:r>
          </w:p>
        </w:tc>
        <w:tc>
          <w:tcPr>
            <w:tcW w:type="dxa" w:w="3672"/>
            <w:vAlign w:val="center"/>
            <w:tcMar>
              <w:top w:w="90" w:type="dxa"/>
              <w:start w:w="100" w:type="dxa"/>
              <w:bottom w:w="90" w:type="dxa"/>
              <w:end w:w="100" w:type="dxa"/>
            </w:tcMar>
            <w:shd w:fill="FFFFFF"/>
          </w:tcPr>
          <w:p>
            <w:pPr>
              <w:spacing w:after="0" w:before="0"/>
            </w:pPr>
            <w:r/>
            <w:r>
              <w:rPr>
                <w:rFonts w:ascii="Arial" w:hAnsi="Arial"/>
                <w:b w:val="0"/>
                <w:color w:val="16324F"/>
                <w:sz w:val="17"/>
              </w:rPr>
              <w:t>Section 5</w:t>
            </w:r>
          </w:p>
        </w:tc>
      </w:tr>
      <w:tr>
        <w:tc>
          <w:tcPr>
            <w:tcW w:type="dxa" w:w="5112"/>
            <w:vAlign w:val="center"/>
            <w:tcMar>
              <w:top w:w="90" w:type="dxa"/>
              <w:start w:w="100" w:type="dxa"/>
              <w:bottom w:w="90" w:type="dxa"/>
              <w:end w:w="100" w:type="dxa"/>
            </w:tcMar>
            <w:shd w:fill="F5F8FA"/>
          </w:tcPr>
          <w:p>
            <w:pPr>
              <w:spacing w:after="0" w:before="0"/>
            </w:pPr>
            <w:r/>
            <w:r>
              <w:rPr>
                <w:rFonts w:ascii="Arial" w:hAnsi="Arial"/>
                <w:b w:val="0"/>
                <w:color w:val="16324F"/>
                <w:sz w:val="17"/>
              </w:rPr>
              <w:t>Timeline with milestones and dates</w:t>
            </w:r>
          </w:p>
        </w:tc>
        <w:tc>
          <w:tcPr>
            <w:tcW w:type="dxa" w:w="3672"/>
            <w:vAlign w:val="center"/>
            <w:tcMar>
              <w:top w:w="90" w:type="dxa"/>
              <w:start w:w="100" w:type="dxa"/>
              <w:bottom w:w="90" w:type="dxa"/>
              <w:end w:w="100" w:type="dxa"/>
            </w:tcMar>
            <w:shd w:fill="F5F8FA"/>
          </w:tcPr>
          <w:p>
            <w:pPr>
              <w:spacing w:after="0" w:before="0"/>
            </w:pPr>
            <w:r/>
            <w:r>
              <w:rPr>
                <w:rFonts w:ascii="Arial" w:hAnsi="Arial"/>
                <w:b w:val="0"/>
                <w:color w:val="16324F"/>
                <w:sz w:val="17"/>
              </w:rPr>
              <w:t>Section 6</w:t>
            </w:r>
          </w:p>
        </w:tc>
      </w:tr>
      <w:tr>
        <w:tc>
          <w:tcPr>
            <w:tcW w:type="dxa" w:w="5112"/>
            <w:vAlign w:val="center"/>
            <w:tcMar>
              <w:top w:w="90" w:type="dxa"/>
              <w:start w:w="100" w:type="dxa"/>
              <w:bottom w:w="90" w:type="dxa"/>
              <w:end w:w="100" w:type="dxa"/>
            </w:tcMar>
            <w:shd w:fill="FFFFFF"/>
          </w:tcPr>
          <w:p>
            <w:pPr>
              <w:spacing w:after="0" w:before="0"/>
            </w:pPr>
            <w:r/>
            <w:r>
              <w:rPr>
                <w:rFonts w:ascii="Arial" w:hAnsi="Arial"/>
                <w:b w:val="0"/>
                <w:color w:val="16324F"/>
                <w:sz w:val="17"/>
              </w:rPr>
              <w:t>Evaluation criteria, readability and limitations</w:t>
            </w:r>
          </w:p>
        </w:tc>
        <w:tc>
          <w:tcPr>
            <w:tcW w:type="dxa" w:w="3672"/>
            <w:vAlign w:val="center"/>
            <w:tcMar>
              <w:top w:w="90" w:type="dxa"/>
              <w:start w:w="100" w:type="dxa"/>
              <w:bottom w:w="90" w:type="dxa"/>
              <w:end w:w="100" w:type="dxa"/>
            </w:tcMar>
            <w:shd w:fill="FFFFFF"/>
          </w:tcPr>
          <w:p>
            <w:pPr>
              <w:spacing w:after="0" w:before="0"/>
            </w:pPr>
            <w:r/>
            <w:r>
              <w:rPr>
                <w:rFonts w:ascii="Arial" w:hAnsi="Arial"/>
                <w:b w:val="0"/>
                <w:color w:val="16324F"/>
                <w:sz w:val="17"/>
              </w:rPr>
              <w:t>Sections 7–8</w:t>
            </w:r>
          </w:p>
        </w:tc>
      </w:tr>
    </w:tbl>
    <w:p>
      <w:pPr>
        <w:spacing w:after="0"/>
      </w:pPr>
    </w:p>
    <w:p>
      <w:r>
        <w:br w:type="page"/>
      </w:r>
    </w:p>
    <w:p>
      <w:pPr>
        <w:pStyle w:val="Heading1"/>
        <w:keepNext/>
        <w:spacing w:before="180" w:after="100"/>
      </w:pPr>
      <w:r>
        <w:t>1. Research Rationale and Project Scope</w:t>
      </w:r>
    </w:p>
    <w:p>
      <w:pPr>
        <w:pStyle w:val="Heading2"/>
        <w:keepNext/>
        <w:spacing w:before="120" w:after="60"/>
      </w:pPr>
      <w:r>
        <w:t>1.1 Research rationale</w:t>
      </w:r>
    </w:p>
    <w:p>
      <w:r>
        <w:t>Agricultural outcomes are influenced by multiple connected factors: cultivated area, yield, harvest timing, rainfall, input availability, transport, market arrivals, seasonal demand and price movements. Examining only one dataset can create an incomplete picture. For example, a production increase does not automatically imply a lower retail price because storage, procurement, market access, quality, location and demand can alter the relationship. A joined and documented dataset makes these relationships easier to examine while helping expose data gaps.</w:t>
      </w:r>
    </w:p>
    <w:p>
      <w:r>
        <w:t>A Data Science approach is appropriate because these sources often differ in format, units, geography and time frequency. The project will use descriptive statistics and visualisation first, then establish simple forecasting baselines. More complex models will only be considered if enough consistent observations are available and they outperform the baselines on a holdout period.</w:t>
      </w:r>
    </w:p>
    <w:p>
      <w:pPr>
        <w:pStyle w:val="Heading2"/>
        <w:keepNext/>
        <w:spacing w:before="120" w:after="60"/>
      </w:pPr>
      <w:r>
        <w:t>1.2 Proposed scope</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160"/>
            <w:shd w:fill="16324F"/>
            <w:vAlign w:val="center"/>
            <w:tcMar>
              <w:top w:w="90" w:type="dxa"/>
              <w:start w:w="100" w:type="dxa"/>
              <w:bottom w:w="90" w:type="dxa"/>
              <w:end w:w="100" w:type="dxa"/>
            </w:tcMar>
          </w:tcPr>
          <w:p>
            <w:pPr>
              <w:spacing w:after="0" w:before="0"/>
            </w:pPr>
            <w:r/>
            <w:r>
              <w:rPr>
                <w:rFonts w:ascii="Arial" w:hAnsi="Arial"/>
                <w:b/>
                <w:color w:val="FFFFFF"/>
                <w:sz w:val="17"/>
              </w:rPr>
              <w:t>Dimension</w:t>
            </w:r>
          </w:p>
        </w:tc>
        <w:tc>
          <w:tcPr>
            <w:tcW w:type="dxa" w:w="6624"/>
            <w:shd w:fill="16324F"/>
            <w:vAlign w:val="center"/>
            <w:tcMar>
              <w:top w:w="90" w:type="dxa"/>
              <w:start w:w="100" w:type="dxa"/>
              <w:bottom w:w="90" w:type="dxa"/>
              <w:end w:w="100" w:type="dxa"/>
            </w:tcMar>
          </w:tcPr>
          <w:p>
            <w:pPr>
              <w:spacing w:after="0" w:before="0"/>
            </w:pPr>
            <w:r/>
            <w:r>
              <w:rPr>
                <w:rFonts w:ascii="Arial" w:hAnsi="Arial"/>
                <w:b/>
                <w:color w:val="FFFFFF"/>
                <w:sz w:val="17"/>
              </w:rPr>
              <w:t>Proposed scope for the pilot</w:t>
            </w:r>
          </w:p>
        </w:tc>
      </w:tr>
      <w:tr>
        <w:tc>
          <w:tcPr>
            <w:tcW w:type="dxa" w:w="2160"/>
            <w:vAlign w:val="center"/>
            <w:tcMar>
              <w:top w:w="90" w:type="dxa"/>
              <w:start w:w="100" w:type="dxa"/>
              <w:bottom w:w="90" w:type="dxa"/>
              <w:end w:w="100" w:type="dxa"/>
            </w:tcMar>
            <w:shd w:fill="FFFFFF"/>
          </w:tcPr>
          <w:p>
            <w:pPr>
              <w:spacing w:after="0" w:before="0"/>
            </w:pPr>
            <w:r/>
            <w:r>
              <w:rPr>
                <w:rFonts w:ascii="Arial" w:hAnsi="Arial"/>
                <w:b w:val="0"/>
                <w:color w:val="16324F"/>
                <w:sz w:val="17"/>
              </w:rPr>
              <w:t>Geography</w:t>
            </w:r>
          </w:p>
        </w:tc>
        <w:tc>
          <w:tcPr>
            <w:tcW w:type="dxa" w:w="6624"/>
            <w:vAlign w:val="center"/>
            <w:tcMar>
              <w:top w:w="90" w:type="dxa"/>
              <w:start w:w="100" w:type="dxa"/>
              <w:bottom w:w="90" w:type="dxa"/>
              <w:end w:w="100" w:type="dxa"/>
            </w:tcMar>
            <w:shd w:fill="FFFFFF"/>
          </w:tcPr>
          <w:p>
            <w:pPr>
              <w:spacing w:after="0" w:before="0"/>
            </w:pPr>
            <w:r/>
            <w:r>
              <w:rPr>
                <w:rFonts w:ascii="Arial" w:hAnsi="Arial"/>
                <w:b w:val="0"/>
                <w:color w:val="16324F"/>
                <w:sz w:val="17"/>
              </w:rPr>
              <w:t>India for annual production/yield; Karnataka markets for price analysis, limited to markets with adequate records.</w:t>
            </w:r>
          </w:p>
        </w:tc>
      </w:tr>
      <w:tr>
        <w:tc>
          <w:tcPr>
            <w:tcW w:type="dxa" w:w="2160"/>
            <w:vAlign w:val="center"/>
            <w:tcMar>
              <w:top w:w="90" w:type="dxa"/>
              <w:start w:w="100" w:type="dxa"/>
              <w:bottom w:w="90" w:type="dxa"/>
              <w:end w:w="100" w:type="dxa"/>
            </w:tcMar>
            <w:shd w:fill="F5F8FA"/>
          </w:tcPr>
          <w:p>
            <w:pPr>
              <w:spacing w:after="0" w:before="0"/>
            </w:pPr>
            <w:r/>
            <w:r>
              <w:rPr>
                <w:rFonts w:ascii="Arial" w:hAnsi="Arial"/>
                <w:b w:val="0"/>
                <w:color w:val="16324F"/>
                <w:sz w:val="17"/>
              </w:rPr>
              <w:t>Crops</w:t>
            </w:r>
          </w:p>
        </w:tc>
        <w:tc>
          <w:tcPr>
            <w:tcW w:type="dxa" w:w="6624"/>
            <w:vAlign w:val="center"/>
            <w:tcMar>
              <w:top w:w="90" w:type="dxa"/>
              <w:start w:w="100" w:type="dxa"/>
              <w:bottom w:w="90" w:type="dxa"/>
              <w:end w:w="100" w:type="dxa"/>
            </w:tcMar>
            <w:shd w:fill="F5F8FA"/>
          </w:tcPr>
          <w:p>
            <w:pPr>
              <w:spacing w:after="0" w:before="0"/>
            </w:pPr>
            <w:r/>
            <w:r>
              <w:rPr>
                <w:rFonts w:ascii="Arial" w:hAnsi="Arial"/>
                <w:b w:val="0"/>
                <w:color w:val="16324F"/>
                <w:sz w:val="17"/>
              </w:rPr>
              <w:t>Pilot crops: maize for the worked production example; onion and tomato may be included in market-price analysis if records are sufficiently complete.</w:t>
            </w:r>
          </w:p>
        </w:tc>
      </w:tr>
      <w:tr>
        <w:tc>
          <w:tcPr>
            <w:tcW w:type="dxa" w:w="2160"/>
            <w:vAlign w:val="center"/>
            <w:tcMar>
              <w:top w:w="90" w:type="dxa"/>
              <w:start w:w="100" w:type="dxa"/>
              <w:bottom w:w="90" w:type="dxa"/>
              <w:end w:w="100" w:type="dxa"/>
            </w:tcMar>
            <w:shd w:fill="FFFFFF"/>
          </w:tcPr>
          <w:p>
            <w:pPr>
              <w:spacing w:after="0" w:before="0"/>
            </w:pPr>
            <w:r/>
            <w:r>
              <w:rPr>
                <w:rFonts w:ascii="Arial" w:hAnsi="Arial"/>
                <w:b w:val="0"/>
                <w:color w:val="16324F"/>
                <w:sz w:val="17"/>
              </w:rPr>
              <w:t>Time span</w:t>
            </w:r>
          </w:p>
        </w:tc>
        <w:tc>
          <w:tcPr>
            <w:tcW w:type="dxa" w:w="6624"/>
            <w:vAlign w:val="center"/>
            <w:tcMar>
              <w:top w:w="90" w:type="dxa"/>
              <w:start w:w="100" w:type="dxa"/>
              <w:bottom w:w="90" w:type="dxa"/>
              <w:end w:w="100" w:type="dxa"/>
            </w:tcMar>
            <w:shd w:fill="FFFFFF"/>
          </w:tcPr>
          <w:p>
            <w:pPr>
              <w:spacing w:after="0" w:before="0"/>
            </w:pPr>
            <w:r/>
            <w:r>
              <w:rPr>
                <w:rFonts w:ascii="Arial" w:hAnsi="Arial"/>
                <w:b w:val="0"/>
                <w:color w:val="16324F"/>
                <w:sz w:val="17"/>
              </w:rPr>
              <w:t>Five annual crop years from 2021–22 to 2025–26 for the supplied crop table; target 36 months of daily/market-day price records if downloadable and consistent.</w:t>
            </w:r>
          </w:p>
        </w:tc>
      </w:tr>
      <w:tr>
        <w:tc>
          <w:tcPr>
            <w:tcW w:type="dxa" w:w="2160"/>
            <w:vAlign w:val="center"/>
            <w:tcMar>
              <w:top w:w="90" w:type="dxa"/>
              <w:start w:w="100" w:type="dxa"/>
              <w:bottom w:w="90" w:type="dxa"/>
              <w:end w:w="100" w:type="dxa"/>
            </w:tcMar>
            <w:shd w:fill="F5F8FA"/>
          </w:tcPr>
          <w:p>
            <w:pPr>
              <w:spacing w:after="0" w:before="0"/>
            </w:pPr>
            <w:r/>
            <w:r>
              <w:rPr>
                <w:rFonts w:ascii="Arial" w:hAnsi="Arial"/>
                <w:b w:val="0"/>
                <w:color w:val="16324F"/>
                <w:sz w:val="17"/>
              </w:rPr>
              <w:t>Analysis unit</w:t>
            </w:r>
          </w:p>
        </w:tc>
        <w:tc>
          <w:tcPr>
            <w:tcW w:type="dxa" w:w="6624"/>
            <w:vAlign w:val="center"/>
            <w:tcMar>
              <w:top w:w="90" w:type="dxa"/>
              <w:start w:w="100" w:type="dxa"/>
              <w:bottom w:w="90" w:type="dxa"/>
              <w:end w:w="100" w:type="dxa"/>
            </w:tcMar>
            <w:shd w:fill="F5F8FA"/>
          </w:tcPr>
          <w:p>
            <w:pPr>
              <w:spacing w:after="0" w:before="0"/>
            </w:pPr>
            <w:r/>
            <w:r>
              <w:rPr>
                <w:rFonts w:ascii="Arial" w:hAnsi="Arial"/>
                <w:b w:val="0"/>
                <w:color w:val="16324F"/>
                <w:sz w:val="17"/>
              </w:rPr>
              <w:t>Crop × year for production; commodity × market × date for prices/arrivals; state/district × period for rainfall where aligned.</w:t>
            </w:r>
          </w:p>
        </w:tc>
      </w:tr>
      <w:tr>
        <w:tc>
          <w:tcPr>
            <w:tcW w:type="dxa" w:w="2160"/>
            <w:vAlign w:val="center"/>
            <w:tcMar>
              <w:top w:w="90" w:type="dxa"/>
              <w:start w:w="100" w:type="dxa"/>
              <w:bottom w:w="90" w:type="dxa"/>
              <w:end w:w="100" w:type="dxa"/>
            </w:tcMar>
            <w:shd w:fill="FFFFFF"/>
          </w:tcPr>
          <w:p>
            <w:pPr>
              <w:spacing w:after="0" w:before="0"/>
            </w:pPr>
            <w:r/>
            <w:r>
              <w:rPr>
                <w:rFonts w:ascii="Arial" w:hAnsi="Arial"/>
                <w:b w:val="0"/>
                <w:color w:val="16324F"/>
                <w:sz w:val="17"/>
              </w:rPr>
              <w:t>Deliverable</w:t>
            </w:r>
          </w:p>
        </w:tc>
        <w:tc>
          <w:tcPr>
            <w:tcW w:type="dxa" w:w="6624"/>
            <w:vAlign w:val="center"/>
            <w:tcMar>
              <w:top w:w="90" w:type="dxa"/>
              <w:start w:w="100" w:type="dxa"/>
              <w:bottom w:w="90" w:type="dxa"/>
              <w:end w:w="100" w:type="dxa"/>
            </w:tcMar>
            <w:shd w:fill="FFFFFF"/>
          </w:tcPr>
          <w:p>
            <w:pPr>
              <w:spacing w:after="0" w:before="0"/>
            </w:pPr>
            <w:r/>
            <w:r>
              <w:rPr>
                <w:rFonts w:ascii="Arial" w:hAnsi="Arial"/>
                <w:b w:val="0"/>
                <w:color w:val="16324F"/>
                <w:sz w:val="17"/>
              </w:rPr>
              <w:t>A DOCX planning report, source register, cleaned CSV, analysis notebook/script, charts and a concise findings summary.</w:t>
            </w:r>
          </w:p>
        </w:tc>
      </w:tr>
    </w:tbl>
    <w:p>
      <w:pPr>
        <w:spacing w:after="0"/>
      </w:pPr>
    </w:p>
    <w:tbl>
      <w:tblPr>
        <w:tblW w:type="auto" w:w="0"/>
        <w:jc w:val="center"/>
        <w:tblLook w:firstColumn="1" w:firstRow="1" w:lastColumn="0" w:lastRow="0" w:noHBand="0" w:noVBand="1" w:val="04A0"/>
      </w:tblPr>
      <w:tblGrid>
        <w:gridCol w:w="9835"/>
      </w:tblGrid>
      <w:tr>
        <w:tc>
          <w:tcPr>
            <w:tcW w:type="dxa" w:w="9835"/>
            <w:shd w:fill="E7F3EF"/>
            <w:tcMar>
              <w:top w:w="150" w:type="dxa"/>
              <w:start w:w="180" w:type="dxa"/>
              <w:bottom w:w="150" w:type="dxa"/>
              <w:end w:w="180" w:type="dxa"/>
            </w:tcMar>
          </w:tcPr>
          <w:p>
            <w:pPr>
              <w:spacing w:after="0"/>
            </w:pPr>
            <w:r/>
            <w:r>
              <w:rPr>
                <w:b/>
                <w:color w:val="1B6B5A"/>
                <w:sz w:val="18"/>
              </w:rPr>
              <w:t xml:space="preserve">Data availability gate  </w:t>
            </w:r>
            <w:r>
              <w:rPr>
                <w:color w:val="16324F"/>
                <w:sz w:val="18"/>
              </w:rPr>
              <w:t>The scope is provisional until the first source audit confirms crop/market names, historical depth, geographic coverage, units and missingness. If one crop or market lacks reliable records, document the exclusion and choose the next suitable series rather than silently filling gaps.</w:t>
            </w:r>
          </w:p>
        </w:tc>
      </w:tr>
    </w:tbl>
    <w:p>
      <w:pPr>
        <w:spacing w:after="0"/>
      </w:pPr>
    </w:p>
    <w:p>
      <w:pPr>
        <w:pStyle w:val="Heading2"/>
        <w:keepNext/>
        <w:spacing w:before="120" w:after="60"/>
      </w:pPr>
      <w:r>
        <w:t>1.3 Research questions</w:t>
      </w:r>
    </w:p>
    <w:p>
      <w:pPr>
        <w:keepLines/>
        <w:spacing w:after="80"/>
        <w:ind w:left="403" w:hanging="360"/>
      </w:pPr>
      <w:r>
        <w:rPr>
          <w:b/>
          <w:color w:val="1B6B5A"/>
        </w:rPr>
        <w:t xml:space="preserve">1. </w:t>
      </w:r>
      <w:r>
        <w:t>How did area, production and yield change for selected crops across the available years?</w:t>
      </w:r>
    </w:p>
    <w:p>
      <w:pPr>
        <w:keepLines/>
        <w:spacing w:after="80"/>
        <w:ind w:left="403" w:hanging="360"/>
      </w:pPr>
      <w:r>
        <w:rPr>
          <w:b/>
          <w:color w:val="1B6B5A"/>
        </w:rPr>
        <w:t xml:space="preserve">2. </w:t>
      </w:r>
      <w:r>
        <w:t>Which selected commodity-market series show strong monthly seasonality or large price variability?</w:t>
      </w:r>
    </w:p>
    <w:p>
      <w:pPr>
        <w:keepLines/>
        <w:spacing w:after="80"/>
        <w:ind w:left="403" w:hanging="360"/>
      </w:pPr>
      <w:r>
        <w:rPr>
          <w:b/>
          <w:color w:val="1B6B5A"/>
        </w:rPr>
        <w:t xml:space="preserve">3. </w:t>
      </w:r>
      <w:r>
        <w:t>Are changes in market arrivals and rainfall associated with price movements after aligning records to the same time period?</w:t>
      </w:r>
    </w:p>
    <w:p>
      <w:pPr>
        <w:keepLines/>
        <w:spacing w:after="80"/>
        <w:ind w:left="403" w:hanging="360"/>
      </w:pPr>
      <w:r>
        <w:rPr>
          <w:b/>
          <w:color w:val="1B6B5A"/>
        </w:rPr>
        <w:t xml:space="preserve">4. </w:t>
      </w:r>
      <w:r>
        <w:t>Which simple forecasting baseline performs best on a time-ordered holdout sample, and how large are its errors?</w:t>
      </w:r>
    </w:p>
    <w:p>
      <w:pPr>
        <w:keepLines/>
        <w:spacing w:after="80"/>
        <w:ind w:left="403" w:hanging="360"/>
      </w:pPr>
      <w:r>
        <w:rPr>
          <w:b/>
          <w:color w:val="1B6B5A"/>
        </w:rPr>
        <w:t xml:space="preserve">5. </w:t>
      </w:r>
      <w:r>
        <w:t>What data limitations prevent a reliable claim about farm profitability, water productivity or causal climate effects?</w:t>
      </w:r>
    </w:p>
    <w:p>
      <w:pPr>
        <w:pStyle w:val="Heading2"/>
        <w:keepNext/>
        <w:spacing w:before="120" w:after="60"/>
      </w:pPr>
      <w:r>
        <w:t>1.4 Expected outputs</w:t>
      </w:r>
    </w:p>
    <w:p>
      <w:r>
        <w:t>The outputs will be a source inventory and data dictionary; read-only raw files plus cleaned data; a quality audit covering missingness, duplicates, units and date coverage; exploratory charts; a baseline forecast comparison using MAE/RMSE; and a concise findings note with limitations and reproducibility details.</w:t>
      </w:r>
    </w:p>
    <w:p>
      <w:pPr>
        <w:pStyle w:val="Heading1"/>
        <w:keepNext/>
        <w:pageBreakBefore/>
        <w:spacing w:before="180" w:after="100"/>
      </w:pPr>
      <w:r>
        <w:t>2. Public Data Sources and Acquisition Strategy</w:t>
      </w:r>
    </w:p>
    <w:p>
      <w:r>
        <w:t>The source plan prioritises official government or intergovernmental datasets. Each download should be accompanied by its source URL, dataset title, retrieval date, selected filters, units, geographic scope and any relevant footnotes. Record the original file name and do not overwrite source files during cleaning.</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880"/>
            <w:shd w:fill="16324F"/>
            <w:vAlign w:val="center"/>
            <w:tcMar>
              <w:top w:w="90" w:type="dxa"/>
              <w:start w:w="100" w:type="dxa"/>
              <w:bottom w:w="90" w:type="dxa"/>
              <w:end w:w="100" w:type="dxa"/>
            </w:tcMar>
          </w:tcPr>
          <w:p>
            <w:pPr>
              <w:spacing w:after="0" w:before="0"/>
            </w:pPr>
            <w:r/>
            <w:r>
              <w:rPr>
                <w:rFonts w:ascii="Arial" w:hAnsi="Arial"/>
                <w:b/>
                <w:color w:val="FFFFFF"/>
                <w:sz w:val="15"/>
              </w:rPr>
              <w:t>Source and link</w:t>
            </w:r>
          </w:p>
        </w:tc>
        <w:tc>
          <w:tcPr>
            <w:tcW w:type="dxa" w:w="2376"/>
            <w:shd w:fill="16324F"/>
            <w:vAlign w:val="center"/>
            <w:tcMar>
              <w:top w:w="90" w:type="dxa"/>
              <w:start w:w="100" w:type="dxa"/>
              <w:bottom w:w="90" w:type="dxa"/>
              <w:end w:w="100" w:type="dxa"/>
            </w:tcMar>
          </w:tcPr>
          <w:p>
            <w:pPr>
              <w:spacing w:after="0" w:before="0"/>
            </w:pPr>
            <w:r/>
            <w:r>
              <w:rPr>
                <w:rFonts w:ascii="Arial" w:hAnsi="Arial"/>
                <w:b/>
                <w:color w:val="FFFFFF"/>
                <w:sz w:val="15"/>
              </w:rPr>
              <w:t>Data to collect</w:t>
            </w:r>
          </w:p>
        </w:tc>
        <w:tc>
          <w:tcPr>
            <w:tcW w:type="dxa" w:w="1656"/>
            <w:shd w:fill="16324F"/>
            <w:vAlign w:val="center"/>
            <w:tcMar>
              <w:top w:w="90" w:type="dxa"/>
              <w:start w:w="100" w:type="dxa"/>
              <w:bottom w:w="90" w:type="dxa"/>
              <w:end w:w="100" w:type="dxa"/>
            </w:tcMar>
          </w:tcPr>
          <w:p>
            <w:pPr>
              <w:spacing w:after="0" w:before="0"/>
            </w:pPr>
            <w:r/>
            <w:r>
              <w:rPr>
                <w:rFonts w:ascii="Arial" w:hAnsi="Arial"/>
                <w:b/>
                <w:color w:val="FFFFFF"/>
                <w:sz w:val="15"/>
              </w:rPr>
              <w:t>Frequency / unit</w:t>
            </w:r>
          </w:p>
        </w:tc>
        <w:tc>
          <w:tcPr>
            <w:tcW w:type="dxa" w:w="2232"/>
            <w:shd w:fill="16324F"/>
            <w:vAlign w:val="center"/>
            <w:tcMar>
              <w:top w:w="90" w:type="dxa"/>
              <w:start w:w="100" w:type="dxa"/>
              <w:bottom w:w="90" w:type="dxa"/>
              <w:end w:w="100" w:type="dxa"/>
            </w:tcMar>
          </w:tcPr>
          <w:p>
            <w:pPr>
              <w:spacing w:after="0" w:before="0"/>
            </w:pPr>
            <w:r/>
            <w:r>
              <w:rPr>
                <w:rFonts w:ascii="Arial" w:hAnsi="Arial"/>
                <w:b/>
                <w:color w:val="FFFFFF"/>
                <w:sz w:val="15"/>
              </w:rPr>
              <w:t>Role and caveat</w:t>
            </w:r>
          </w:p>
        </w:tc>
      </w:tr>
      <w:tr>
        <w:tc>
          <w:tcPr>
            <w:tcW w:type="dxa" w:w="2880"/>
            <w:vAlign w:val="center"/>
            <w:tcMar>
              <w:top w:w="90" w:type="dxa"/>
              <w:start w:w="100" w:type="dxa"/>
              <w:bottom w:w="90" w:type="dxa"/>
              <w:end w:w="100" w:type="dxa"/>
            </w:tcMar>
            <w:shd w:fill="FFFFFF"/>
          </w:tcPr>
          <w:p>
            <w:pPr>
              <w:spacing w:after="0" w:before="0"/>
            </w:pPr>
            <w:r/>
            <w:r>
              <w:rPr>
                <w:rFonts w:ascii="Arial" w:hAnsi="Arial"/>
                <w:b w:val="0"/>
                <w:color w:val="16324F"/>
                <w:sz w:val="15"/>
              </w:rPr>
              <w:t>DA&amp;FW / ES&amp;E – Agricultural Statistics at a Glance 2024</w:t>
              <w:br/>
              <w:t>https://desagri.gov.in/document-report-category/agriculture-statistics-at-a-glance/</w:t>
            </w:r>
          </w:p>
        </w:tc>
        <w:tc>
          <w:tcPr>
            <w:tcW w:type="dxa" w:w="2376"/>
            <w:vAlign w:val="center"/>
            <w:tcMar>
              <w:top w:w="90" w:type="dxa"/>
              <w:start w:w="100" w:type="dxa"/>
              <w:bottom w:w="90" w:type="dxa"/>
              <w:end w:w="100" w:type="dxa"/>
            </w:tcMar>
            <w:shd w:fill="FFFFFF"/>
          </w:tcPr>
          <w:p>
            <w:pPr>
              <w:spacing w:after="0" w:before="0"/>
            </w:pPr>
            <w:r/>
            <w:r>
              <w:rPr>
                <w:rFonts w:ascii="Arial" w:hAnsi="Arial"/>
                <w:b w:val="0"/>
                <w:color w:val="16324F"/>
                <w:sz w:val="15"/>
              </w:rPr>
              <w:t>Crop area, production, yield; agriculture structure and selected input indicators. Also use the DA&amp;FW crop-wise table supplied for 2021–22 to 2025–26.</w:t>
            </w:r>
          </w:p>
        </w:tc>
        <w:tc>
          <w:tcPr>
            <w:tcW w:type="dxa" w:w="1656"/>
            <w:vAlign w:val="center"/>
            <w:tcMar>
              <w:top w:w="90" w:type="dxa"/>
              <w:start w:w="100" w:type="dxa"/>
              <w:bottom w:w="90" w:type="dxa"/>
              <w:end w:w="100" w:type="dxa"/>
            </w:tcMar>
            <w:shd w:fill="FFFFFF"/>
          </w:tcPr>
          <w:p>
            <w:pPr>
              <w:spacing w:after="0" w:before="0"/>
            </w:pPr>
            <w:r/>
            <w:r>
              <w:rPr>
                <w:rFonts w:ascii="Arial" w:hAnsi="Arial"/>
                <w:b w:val="0"/>
                <w:color w:val="16324F"/>
                <w:sz w:val="15"/>
              </w:rPr>
              <w:t>Mostly annual; source-specific units. Supplied table: area in lakh ha, production in lakh tonnes, yield in kg/ha.</w:t>
            </w:r>
          </w:p>
        </w:tc>
        <w:tc>
          <w:tcPr>
            <w:tcW w:type="dxa" w:w="2232"/>
            <w:vAlign w:val="center"/>
            <w:tcMar>
              <w:top w:w="90" w:type="dxa"/>
              <w:start w:w="100" w:type="dxa"/>
              <w:bottom w:w="90" w:type="dxa"/>
              <w:end w:w="100" w:type="dxa"/>
            </w:tcMar>
            <w:shd w:fill="FFFFFF"/>
          </w:tcPr>
          <w:p>
            <w:pPr>
              <w:spacing w:after="0" w:before="0"/>
            </w:pPr>
            <w:r/>
            <w:r>
              <w:rPr>
                <w:rFonts w:ascii="Arial" w:hAnsi="Arial"/>
                <w:b w:val="0"/>
                <w:color w:val="16324F"/>
                <w:sz w:val="15"/>
              </w:rPr>
              <w:t>Primary production source. Mark 2025–26 as third advance estimates, not final actuals.</w:t>
            </w:r>
          </w:p>
        </w:tc>
      </w:tr>
      <w:tr>
        <w:tc>
          <w:tcPr>
            <w:tcW w:type="dxa" w:w="2880"/>
            <w:vAlign w:val="center"/>
            <w:tcMar>
              <w:top w:w="90" w:type="dxa"/>
              <w:start w:w="100" w:type="dxa"/>
              <w:bottom w:w="90" w:type="dxa"/>
              <w:end w:w="100" w:type="dxa"/>
            </w:tcMar>
            <w:shd w:fill="F5F8FA"/>
          </w:tcPr>
          <w:p>
            <w:pPr>
              <w:spacing w:after="0" w:before="0"/>
            </w:pPr>
            <w:r/>
            <w:r>
              <w:rPr>
                <w:rFonts w:ascii="Arial" w:hAnsi="Arial"/>
                <w:b w:val="0"/>
                <w:color w:val="16324F"/>
                <w:sz w:val="15"/>
              </w:rPr>
              <w:t>Open Government Data Platform India – daily mandi prices</w:t>
              <w:br/>
              <w:t>https://karnataka.data.gov.in/catalog/current-daily-price-various-commodities-various-markets-mandi</w:t>
            </w:r>
          </w:p>
        </w:tc>
        <w:tc>
          <w:tcPr>
            <w:tcW w:type="dxa" w:w="2376"/>
            <w:vAlign w:val="center"/>
            <w:tcMar>
              <w:top w:w="90" w:type="dxa"/>
              <w:start w:w="100" w:type="dxa"/>
              <w:bottom w:w="90" w:type="dxa"/>
              <w:end w:w="100" w:type="dxa"/>
            </w:tcMar>
            <w:shd w:fill="F5F8FA"/>
          </w:tcPr>
          <w:p>
            <w:pPr>
              <w:spacing w:after="0" w:before="0"/>
            </w:pPr>
            <w:r/>
            <w:r>
              <w:rPr>
                <w:rFonts w:ascii="Arial" w:hAnsi="Arial"/>
                <w:b w:val="0"/>
                <w:color w:val="16324F"/>
                <w:sz w:val="15"/>
              </w:rPr>
              <w:t>Commodity, variety, market/APMC, date, minimum, maximum and modal wholesale price; arrivals if present in the download.</w:t>
            </w:r>
          </w:p>
        </w:tc>
        <w:tc>
          <w:tcPr>
            <w:tcW w:type="dxa" w:w="1656"/>
            <w:vAlign w:val="center"/>
            <w:tcMar>
              <w:top w:w="90" w:type="dxa"/>
              <w:start w:w="100" w:type="dxa"/>
              <w:bottom w:w="90" w:type="dxa"/>
              <w:end w:w="100" w:type="dxa"/>
            </w:tcMar>
            <w:shd w:fill="F5F8FA"/>
          </w:tcPr>
          <w:p>
            <w:pPr>
              <w:spacing w:after="0" w:before="0"/>
            </w:pPr>
            <w:r/>
            <w:r>
              <w:rPr>
                <w:rFonts w:ascii="Arial" w:hAnsi="Arial"/>
                <w:b w:val="0"/>
                <w:color w:val="16324F"/>
                <w:sz w:val="15"/>
              </w:rPr>
              <w:t>Daily/market day; preserve source price and arrival units then standardise.</w:t>
            </w:r>
          </w:p>
        </w:tc>
        <w:tc>
          <w:tcPr>
            <w:tcW w:type="dxa" w:w="2232"/>
            <w:vAlign w:val="center"/>
            <w:tcMar>
              <w:top w:w="90" w:type="dxa"/>
              <w:start w:w="100" w:type="dxa"/>
              <w:bottom w:w="90" w:type="dxa"/>
              <w:end w:w="100" w:type="dxa"/>
            </w:tcMar>
            <w:shd w:fill="F5F8FA"/>
          </w:tcPr>
          <w:p>
            <w:pPr>
              <w:spacing w:after="0" w:before="0"/>
            </w:pPr>
            <w:r/>
            <w:r>
              <w:rPr>
                <w:rFonts w:ascii="Arial" w:hAnsi="Arial"/>
                <w:b w:val="0"/>
                <w:color w:val="16324F"/>
                <w:sz w:val="15"/>
              </w:rPr>
              <w:t>Pricing source generated through AGMARKNET. Availability and completeness may vary by commodity and market.</w:t>
            </w:r>
          </w:p>
        </w:tc>
      </w:tr>
      <w:tr>
        <w:tc>
          <w:tcPr>
            <w:tcW w:type="dxa" w:w="2880"/>
            <w:vAlign w:val="center"/>
            <w:tcMar>
              <w:top w:w="90" w:type="dxa"/>
              <w:start w:w="100" w:type="dxa"/>
              <w:bottom w:w="90" w:type="dxa"/>
              <w:end w:w="100" w:type="dxa"/>
            </w:tcMar>
            <w:shd w:fill="FFFFFF"/>
          </w:tcPr>
          <w:p>
            <w:pPr>
              <w:spacing w:after="0" w:before="0"/>
            </w:pPr>
            <w:r/>
            <w:r>
              <w:rPr>
                <w:rFonts w:ascii="Arial" w:hAnsi="Arial"/>
                <w:b w:val="0"/>
                <w:color w:val="16324F"/>
                <w:sz w:val="15"/>
              </w:rPr>
              <w:t>AGMARKNET portal</w:t>
              <w:br/>
              <w:t>https://agmarknet.gov.in/</w:t>
            </w:r>
          </w:p>
        </w:tc>
        <w:tc>
          <w:tcPr>
            <w:tcW w:type="dxa" w:w="2376"/>
            <w:vAlign w:val="center"/>
            <w:tcMar>
              <w:top w:w="90" w:type="dxa"/>
              <w:start w:w="100" w:type="dxa"/>
              <w:bottom w:w="90" w:type="dxa"/>
              <w:end w:w="100" w:type="dxa"/>
            </w:tcMar>
            <w:shd w:fill="FFFFFF"/>
          </w:tcPr>
          <w:p>
            <w:pPr>
              <w:spacing w:after="0" w:before="0"/>
            </w:pPr>
            <w:r/>
            <w:r>
              <w:rPr>
                <w:rFonts w:ascii="Arial" w:hAnsi="Arial"/>
                <w:b w:val="0"/>
                <w:color w:val="16324F"/>
                <w:sz w:val="15"/>
              </w:rPr>
              <w:t>Cross-check market profiles, commodity names, price/arrival definitions and market context.</w:t>
            </w:r>
          </w:p>
        </w:tc>
        <w:tc>
          <w:tcPr>
            <w:tcW w:type="dxa" w:w="1656"/>
            <w:vAlign w:val="center"/>
            <w:tcMar>
              <w:top w:w="90" w:type="dxa"/>
              <w:start w:w="100" w:type="dxa"/>
              <w:bottom w:w="90" w:type="dxa"/>
              <w:end w:w="100" w:type="dxa"/>
            </w:tcMar>
            <w:shd w:fill="FFFFFF"/>
          </w:tcPr>
          <w:p>
            <w:pPr>
              <w:spacing w:after="0" w:before="0"/>
            </w:pPr>
            <w:r/>
            <w:r>
              <w:rPr>
                <w:rFonts w:ascii="Arial" w:hAnsi="Arial"/>
                <w:b w:val="0"/>
                <w:color w:val="16324F"/>
                <w:sz w:val="15"/>
              </w:rPr>
              <w:t>Dynamic market records; daily/market day.</w:t>
            </w:r>
          </w:p>
        </w:tc>
        <w:tc>
          <w:tcPr>
            <w:tcW w:type="dxa" w:w="2232"/>
            <w:vAlign w:val="center"/>
            <w:tcMar>
              <w:top w:w="90" w:type="dxa"/>
              <w:start w:w="100" w:type="dxa"/>
              <w:bottom w:w="90" w:type="dxa"/>
              <w:end w:w="100" w:type="dxa"/>
            </w:tcMar>
            <w:shd w:fill="FFFFFF"/>
          </w:tcPr>
          <w:p>
            <w:pPr>
              <w:spacing w:after="0" w:before="0"/>
            </w:pPr>
            <w:r/>
            <w:r>
              <w:rPr>
                <w:rFonts w:ascii="Arial" w:hAnsi="Arial"/>
                <w:b w:val="0"/>
                <w:color w:val="16324F"/>
                <w:sz w:val="15"/>
              </w:rPr>
              <w:t>Use as the domain reference for Indian agricultural market information; verify how each exported field is defined.</w:t>
            </w:r>
          </w:p>
        </w:tc>
      </w:tr>
      <w:tr>
        <w:tc>
          <w:tcPr>
            <w:tcW w:type="dxa" w:w="2880"/>
            <w:vAlign w:val="center"/>
            <w:tcMar>
              <w:top w:w="90" w:type="dxa"/>
              <w:start w:w="100" w:type="dxa"/>
              <w:bottom w:w="90" w:type="dxa"/>
              <w:end w:w="100" w:type="dxa"/>
            </w:tcMar>
            <w:shd w:fill="F5F8FA"/>
          </w:tcPr>
          <w:p>
            <w:pPr>
              <w:spacing w:after="0" w:before="0"/>
            </w:pPr>
            <w:r/>
            <w:r>
              <w:rPr>
                <w:rFonts w:ascii="Arial" w:hAnsi="Arial"/>
                <w:b w:val="0"/>
                <w:color w:val="16324F"/>
                <w:sz w:val="15"/>
              </w:rPr>
              <w:t>India Meteorological Department – rainfall information</w:t>
              <w:br/>
              <w:t>https://mausam.imd.gov.in/responsive/rainfallinformation.php?msg=M</w:t>
            </w:r>
          </w:p>
        </w:tc>
        <w:tc>
          <w:tcPr>
            <w:tcW w:type="dxa" w:w="2376"/>
            <w:vAlign w:val="center"/>
            <w:tcMar>
              <w:top w:w="90" w:type="dxa"/>
              <w:start w:w="100" w:type="dxa"/>
              <w:bottom w:w="90" w:type="dxa"/>
              <w:end w:w="100" w:type="dxa"/>
            </w:tcMar>
            <w:shd w:fill="F5F8FA"/>
          </w:tcPr>
          <w:p>
            <w:pPr>
              <w:spacing w:after="0" w:before="0"/>
            </w:pPr>
            <w:r/>
            <w:r>
              <w:rPr>
                <w:rFonts w:ascii="Arial" w:hAnsi="Arial"/>
                <w:b w:val="0"/>
                <w:color w:val="16324F"/>
                <w:sz w:val="15"/>
              </w:rPr>
              <w:t>District/state/subdivision rainfall, monthly or seasonal totals and departure from normal where available.</w:t>
            </w:r>
          </w:p>
        </w:tc>
        <w:tc>
          <w:tcPr>
            <w:tcW w:type="dxa" w:w="1656"/>
            <w:vAlign w:val="center"/>
            <w:tcMar>
              <w:top w:w="90" w:type="dxa"/>
              <w:start w:w="100" w:type="dxa"/>
              <w:bottom w:w="90" w:type="dxa"/>
              <w:end w:w="100" w:type="dxa"/>
            </w:tcMar>
            <w:shd w:fill="F5F8FA"/>
          </w:tcPr>
          <w:p>
            <w:pPr>
              <w:spacing w:after="0" w:before="0"/>
            </w:pPr>
            <w:r/>
            <w:r>
              <w:rPr>
                <w:rFonts w:ascii="Arial" w:hAnsi="Arial"/>
                <w:b w:val="0"/>
                <w:color w:val="16324F"/>
                <w:sz w:val="15"/>
              </w:rPr>
              <w:t>Daily, weekly, monthly and cumulative views; rainfall in mm or source-specific unit.</w:t>
            </w:r>
          </w:p>
        </w:tc>
        <w:tc>
          <w:tcPr>
            <w:tcW w:type="dxa" w:w="2232"/>
            <w:vAlign w:val="center"/>
            <w:tcMar>
              <w:top w:w="90" w:type="dxa"/>
              <w:start w:w="100" w:type="dxa"/>
              <w:bottom w:w="90" w:type="dxa"/>
              <w:end w:w="100" w:type="dxa"/>
            </w:tcMar>
            <w:shd w:fill="F5F8FA"/>
          </w:tcPr>
          <w:p>
            <w:pPr>
              <w:spacing w:after="0" w:before="0"/>
            </w:pPr>
            <w:r/>
            <w:r>
              <w:rPr>
                <w:rFonts w:ascii="Arial" w:hAnsi="Arial"/>
                <w:b w:val="0"/>
                <w:color w:val="16324F"/>
                <w:sz w:val="15"/>
              </w:rPr>
              <w:t>Use a location/time key and align rainfall to relevant crop/market periods; historical downloads may need a separate request.</w:t>
            </w:r>
          </w:p>
        </w:tc>
      </w:tr>
      <w:tr>
        <w:tc>
          <w:tcPr>
            <w:tcW w:type="dxa" w:w="2880"/>
            <w:vAlign w:val="center"/>
            <w:tcMar>
              <w:top w:w="90" w:type="dxa"/>
              <w:start w:w="100" w:type="dxa"/>
              <w:bottom w:w="90" w:type="dxa"/>
              <w:end w:w="100" w:type="dxa"/>
            </w:tcMar>
            <w:shd w:fill="FFFFFF"/>
          </w:tcPr>
          <w:p>
            <w:pPr>
              <w:spacing w:after="0" w:before="0"/>
            </w:pPr>
            <w:r/>
            <w:r>
              <w:rPr>
                <w:rFonts w:ascii="Arial" w:hAnsi="Arial"/>
                <w:b w:val="0"/>
                <w:color w:val="16324F"/>
                <w:sz w:val="15"/>
              </w:rPr>
              <w:t>World Bank – Agriculture &amp; Rural Development indicators</w:t>
              <w:br/>
              <w:t>https://data.worldbank.org/indicator</w:t>
            </w:r>
          </w:p>
        </w:tc>
        <w:tc>
          <w:tcPr>
            <w:tcW w:type="dxa" w:w="2376"/>
            <w:vAlign w:val="center"/>
            <w:tcMar>
              <w:top w:w="90" w:type="dxa"/>
              <w:start w:w="100" w:type="dxa"/>
              <w:bottom w:w="90" w:type="dxa"/>
              <w:end w:w="100" w:type="dxa"/>
            </w:tcMar>
            <w:shd w:fill="FFFFFF"/>
          </w:tcPr>
          <w:p>
            <w:pPr>
              <w:spacing w:after="0" w:before="0"/>
            </w:pPr>
            <w:r/>
            <w:r>
              <w:rPr>
                <w:rFonts w:ascii="Arial" w:hAnsi="Arial"/>
                <w:b w:val="0"/>
                <w:color w:val="16324F"/>
                <w:sz w:val="15"/>
              </w:rPr>
              <w:t>Cereal yield, agricultural land, irrigated land, fertilizer consumption, crop/food production indices and agriculture value added.</w:t>
            </w:r>
          </w:p>
        </w:tc>
        <w:tc>
          <w:tcPr>
            <w:tcW w:type="dxa" w:w="1656"/>
            <w:vAlign w:val="center"/>
            <w:tcMar>
              <w:top w:w="90" w:type="dxa"/>
              <w:start w:w="100" w:type="dxa"/>
              <w:bottom w:w="90" w:type="dxa"/>
              <w:end w:w="100" w:type="dxa"/>
            </w:tcMar>
            <w:shd w:fill="FFFFFF"/>
          </w:tcPr>
          <w:p>
            <w:pPr>
              <w:spacing w:after="0" w:before="0"/>
            </w:pPr>
            <w:r/>
            <w:r>
              <w:rPr>
                <w:rFonts w:ascii="Arial" w:hAnsi="Arial"/>
                <w:b w:val="0"/>
                <w:color w:val="16324F"/>
                <w:sz w:val="15"/>
              </w:rPr>
              <w:t>Generally annual; definitions and latest year vary by indicator.</w:t>
            </w:r>
          </w:p>
        </w:tc>
        <w:tc>
          <w:tcPr>
            <w:tcW w:type="dxa" w:w="2232"/>
            <w:vAlign w:val="center"/>
            <w:tcMar>
              <w:top w:w="90" w:type="dxa"/>
              <w:start w:w="100" w:type="dxa"/>
              <w:bottom w:w="90" w:type="dxa"/>
              <w:end w:w="100" w:type="dxa"/>
            </w:tcMar>
            <w:shd w:fill="FFFFFF"/>
          </w:tcPr>
          <w:p>
            <w:pPr>
              <w:spacing w:after="0" w:before="0"/>
            </w:pPr>
            <w:r/>
            <w:r>
              <w:rPr>
                <w:rFonts w:ascii="Arial" w:hAnsi="Arial"/>
                <w:b w:val="0"/>
                <w:color w:val="16324F"/>
                <w:sz w:val="15"/>
              </w:rPr>
              <w:t>Provides context indicators; national aggregates should not be treated as district or farm-level measurements.</w:t>
            </w:r>
          </w:p>
        </w:tc>
      </w:tr>
      <w:tr>
        <w:tc>
          <w:tcPr>
            <w:tcW w:type="dxa" w:w="2880"/>
            <w:vAlign w:val="center"/>
            <w:tcMar>
              <w:top w:w="90" w:type="dxa"/>
              <w:start w:w="100" w:type="dxa"/>
              <w:bottom w:w="90" w:type="dxa"/>
              <w:end w:w="100" w:type="dxa"/>
            </w:tcMar>
            <w:shd w:fill="F5F8FA"/>
          </w:tcPr>
          <w:p>
            <w:pPr>
              <w:spacing w:after="0" w:before="0"/>
            </w:pPr>
            <w:r/>
            <w:r>
              <w:rPr>
                <w:rFonts w:ascii="Arial" w:hAnsi="Arial"/>
                <w:b w:val="0"/>
                <w:color w:val="16324F"/>
                <w:sz w:val="15"/>
              </w:rPr>
              <w:t>FAOSTAT – Food and Agriculture data</w:t>
              <w:br/>
              <w:t>https://www.fao.org/faostat/</w:t>
            </w:r>
          </w:p>
        </w:tc>
        <w:tc>
          <w:tcPr>
            <w:tcW w:type="dxa" w:w="2376"/>
            <w:vAlign w:val="center"/>
            <w:tcMar>
              <w:top w:w="90" w:type="dxa"/>
              <w:start w:w="100" w:type="dxa"/>
              <w:bottom w:w="90" w:type="dxa"/>
              <w:end w:w="100" w:type="dxa"/>
            </w:tcMar>
            <w:shd w:fill="F5F8FA"/>
          </w:tcPr>
          <w:p>
            <w:pPr>
              <w:spacing w:after="0" w:before="0"/>
            </w:pPr>
            <w:r/>
            <w:r>
              <w:rPr>
                <w:rFonts w:ascii="Arial" w:hAnsi="Arial"/>
                <w:b w:val="0"/>
                <w:color w:val="16324F"/>
                <w:sz w:val="15"/>
              </w:rPr>
              <w:t>Comparable crop production, harvested area, yield and selected sustainability/resource indicators.</w:t>
            </w:r>
          </w:p>
        </w:tc>
        <w:tc>
          <w:tcPr>
            <w:tcW w:type="dxa" w:w="1656"/>
            <w:vAlign w:val="center"/>
            <w:tcMar>
              <w:top w:w="90" w:type="dxa"/>
              <w:start w:w="100" w:type="dxa"/>
              <w:bottom w:w="90" w:type="dxa"/>
              <w:end w:w="100" w:type="dxa"/>
            </w:tcMar>
            <w:shd w:fill="F5F8FA"/>
          </w:tcPr>
          <w:p>
            <w:pPr>
              <w:spacing w:after="0" w:before="0"/>
            </w:pPr>
            <w:r/>
            <w:r>
              <w:rPr>
                <w:rFonts w:ascii="Arial" w:hAnsi="Arial"/>
                <w:b w:val="0"/>
                <w:color w:val="16324F"/>
                <w:sz w:val="15"/>
              </w:rPr>
              <w:t>Annual; country and commodity coverage depends on domain.</w:t>
            </w:r>
          </w:p>
        </w:tc>
        <w:tc>
          <w:tcPr>
            <w:tcW w:type="dxa" w:w="2232"/>
            <w:vAlign w:val="center"/>
            <w:tcMar>
              <w:top w:w="90" w:type="dxa"/>
              <w:start w:w="100" w:type="dxa"/>
              <w:bottom w:w="90" w:type="dxa"/>
              <w:end w:w="100" w:type="dxa"/>
            </w:tcMar>
            <w:shd w:fill="F5F8FA"/>
          </w:tcPr>
          <w:p>
            <w:pPr>
              <w:spacing w:after="0" w:before="0"/>
            </w:pPr>
            <w:r/>
            <w:r>
              <w:rPr>
                <w:rFonts w:ascii="Arial" w:hAnsi="Arial"/>
                <w:b w:val="0"/>
                <w:color w:val="16324F"/>
                <w:sz w:val="15"/>
              </w:rPr>
              <w:t>Useful for international comparison and cross-checking; definition, release year and unit must be checked in metadata.</w:t>
            </w:r>
          </w:p>
        </w:tc>
      </w:tr>
    </w:tbl>
    <w:p>
      <w:pPr>
        <w:spacing w:after="0"/>
      </w:pPr>
    </w:p>
    <w:p>
      <w:pPr>
        <w:pStyle w:val="Heading2"/>
        <w:keepNext/>
        <w:spacing w:before="120" w:after="60"/>
      </w:pPr>
      <w:r>
        <w:t>2.1 Collection procedure</w:t>
      </w:r>
    </w:p>
    <w:p>
      <w:pPr>
        <w:keepLines/>
        <w:spacing w:after="80"/>
        <w:ind w:left="403" w:hanging="360"/>
      </w:pPr>
      <w:r>
        <w:rPr>
          <w:b/>
          <w:color w:val="1B6B5A"/>
        </w:rPr>
        <w:t xml:space="preserve">1. </w:t>
      </w:r>
      <w:r>
        <w:t>Confirm each source title, agency, geography, date coverage, update date and usage terms.</w:t>
      </w:r>
    </w:p>
    <w:p>
      <w:pPr>
        <w:keepLines/>
        <w:spacing w:after="80"/>
        <w:ind w:left="403" w:hanging="360"/>
      </w:pPr>
      <w:r>
        <w:rPr>
          <w:b/>
          <w:color w:val="1B6B5A"/>
        </w:rPr>
        <w:t xml:space="preserve">2. </w:t>
      </w:r>
      <w:r>
        <w:t>Export CSV/XLSX where possible; retain PDFs only when structured data is unavailable.</w:t>
      </w:r>
    </w:p>
    <w:p>
      <w:pPr>
        <w:keepLines/>
        <w:spacing w:after="80"/>
        <w:ind w:left="403" w:hanging="360"/>
      </w:pPr>
      <w:r>
        <w:rPr>
          <w:b/>
          <w:color w:val="1B6B5A"/>
        </w:rPr>
        <w:t xml:space="preserve">3. </w:t>
      </w:r>
      <w:r>
        <w:t>Record file name, URL, retrieval date, filters and units; keep the original download read-only.</w:t>
      </w:r>
    </w:p>
    <w:p>
      <w:pPr>
        <w:keepLines/>
        <w:spacing w:after="80"/>
        <w:ind w:left="403" w:hanging="360"/>
      </w:pPr>
      <w:r>
        <w:rPr>
          <w:b/>
          <w:color w:val="1B6B5A"/>
        </w:rPr>
        <w:t xml:space="preserve">4. </w:t>
      </w:r>
      <w:r>
        <w:t>Use consistent crop, variety, market, district, state and date identifiers; prefer stable codes when available.</w:t>
      </w:r>
    </w:p>
    <w:p>
      <w:pPr>
        <w:keepLines/>
        <w:spacing w:after="80"/>
        <w:ind w:left="403" w:hanging="360"/>
      </w:pPr>
      <w:r>
        <w:rPr>
          <w:b/>
          <w:color w:val="1B6B5A"/>
        </w:rPr>
        <w:t xml:space="preserve">5. </w:t>
      </w:r>
      <w:r>
        <w:t>Preserve provisional/advance-estimate status for 2025–26 crop statistics.</w:t>
      </w:r>
    </w:p>
    <w:tbl>
      <w:tblPr>
        <w:tblW w:type="auto" w:w="0"/>
        <w:jc w:val="center"/>
        <w:tblLook w:firstColumn="1" w:firstRow="1" w:lastColumn="0" w:lastRow="0" w:noHBand="0" w:noVBand="1" w:val="04A0"/>
      </w:tblPr>
      <w:tblGrid>
        <w:gridCol w:w="9835"/>
      </w:tblGrid>
      <w:tr>
        <w:tc>
          <w:tcPr>
            <w:tcW w:type="dxa" w:w="9835"/>
            <w:shd w:fill="E7F3EF"/>
            <w:tcMar>
              <w:top w:w="150" w:type="dxa"/>
              <w:start w:w="180" w:type="dxa"/>
              <w:bottom w:w="150" w:type="dxa"/>
              <w:end w:w="180" w:type="dxa"/>
            </w:tcMar>
          </w:tcPr>
          <w:p>
            <w:pPr>
              <w:spacing w:after="0"/>
            </w:pPr>
            <w:r/>
            <w:r>
              <w:rPr>
                <w:b/>
                <w:color w:val="1B6B5A"/>
                <w:sz w:val="18"/>
              </w:rPr>
              <w:t xml:space="preserve">Important distinction  </w:t>
            </w:r>
            <w:r>
              <w:rPr>
                <w:color w:val="16324F"/>
                <w:sz w:val="18"/>
              </w:rPr>
              <w:t>The provided crop-wise statistics table does not contain historical mandi prices. Pricing analysis must be built from a market-price dataset; no price results will be reported until those records are actually collected and verified.</w:t>
            </w:r>
          </w:p>
        </w:tc>
      </w:tr>
    </w:tbl>
    <w:p>
      <w:pPr>
        <w:spacing w:after="0"/>
      </w:pPr>
    </w:p>
    <w:p>
      <w:pPr>
        <w:pStyle w:val="Heading1"/>
        <w:keepNext/>
        <w:pageBreakBefore/>
        <w:spacing w:before="180" w:after="100"/>
      </w:pPr>
      <w:r>
        <w:t>3. Key Indicators, Metrics and Definitions</w:t>
      </w:r>
    </w:p>
    <w:p>
      <w:r>
        <w:t>Metrics are defined before analysis so that calculations are consistent. Every chart and table should show the crop/market, period, unit and source. Where farm-level measurements are unavailable, report a proxy or state that the metric cannot be calculated from the selected data.</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296"/>
            <w:shd w:fill="16324F"/>
            <w:vAlign w:val="center"/>
            <w:tcMar>
              <w:top w:w="40" w:type="dxa"/>
              <w:start w:w="70" w:type="dxa"/>
              <w:bottom w:w="40" w:type="dxa"/>
              <w:end w:w="70" w:type="dxa"/>
            </w:tcMar>
          </w:tcPr>
          <w:p>
            <w:pPr>
              <w:spacing w:after="0" w:before="0"/>
            </w:pPr>
            <w:r/>
            <w:r>
              <w:rPr>
                <w:rFonts w:ascii="Arial" w:hAnsi="Arial"/>
                <w:b/>
                <w:color w:val="FFFFFF"/>
                <w:sz w:val="15"/>
              </w:rPr>
              <w:t>Domain</w:t>
            </w:r>
          </w:p>
        </w:tc>
        <w:tc>
          <w:tcPr>
            <w:tcW w:type="dxa" w:w="2376"/>
            <w:shd w:fill="16324F"/>
            <w:vAlign w:val="center"/>
            <w:tcMar>
              <w:top w:w="40" w:type="dxa"/>
              <w:start w:w="70" w:type="dxa"/>
              <w:bottom w:w="40" w:type="dxa"/>
              <w:end w:w="70" w:type="dxa"/>
            </w:tcMar>
          </w:tcPr>
          <w:p>
            <w:pPr>
              <w:spacing w:after="0" w:before="0"/>
            </w:pPr>
            <w:r/>
            <w:r>
              <w:rPr>
                <w:rFonts w:ascii="Arial" w:hAnsi="Arial"/>
                <w:b/>
                <w:color w:val="FFFFFF"/>
                <w:sz w:val="15"/>
              </w:rPr>
              <w:t>Metric / definition</w:t>
            </w:r>
          </w:p>
        </w:tc>
        <w:tc>
          <w:tcPr>
            <w:tcW w:type="dxa" w:w="2232"/>
            <w:shd w:fill="16324F"/>
            <w:vAlign w:val="center"/>
            <w:tcMar>
              <w:top w:w="40" w:type="dxa"/>
              <w:start w:w="70" w:type="dxa"/>
              <w:bottom w:w="40" w:type="dxa"/>
              <w:end w:w="70" w:type="dxa"/>
            </w:tcMar>
          </w:tcPr>
          <w:p>
            <w:pPr>
              <w:spacing w:after="0" w:before="0"/>
            </w:pPr>
            <w:r/>
            <w:r>
              <w:rPr>
                <w:rFonts w:ascii="Arial" w:hAnsi="Arial"/>
                <w:b/>
                <w:color w:val="FFFFFF"/>
                <w:sz w:val="15"/>
              </w:rPr>
              <w:t>Unit or calculation</w:t>
            </w:r>
          </w:p>
        </w:tc>
        <w:tc>
          <w:tcPr>
            <w:tcW w:type="dxa" w:w="3240"/>
            <w:shd w:fill="16324F"/>
            <w:vAlign w:val="center"/>
            <w:tcMar>
              <w:top w:w="40" w:type="dxa"/>
              <w:start w:w="70" w:type="dxa"/>
              <w:bottom w:w="40" w:type="dxa"/>
              <w:end w:w="70" w:type="dxa"/>
            </w:tcMar>
          </w:tcPr>
          <w:p>
            <w:pPr>
              <w:spacing w:after="0" w:before="0"/>
            </w:pPr>
            <w:r/>
            <w:r>
              <w:rPr>
                <w:rFonts w:ascii="Arial" w:hAnsi="Arial"/>
                <w:b/>
                <w:color w:val="FFFFFF"/>
                <w:sz w:val="15"/>
              </w:rPr>
              <w:t>Interpretation</w:t>
            </w:r>
          </w:p>
        </w:tc>
      </w:tr>
      <w:tr>
        <w:tc>
          <w:tcPr>
            <w:tcW w:type="dxa" w:w="1296"/>
            <w:vAlign w:val="center"/>
            <w:tcMar>
              <w:top w:w="40" w:type="dxa"/>
              <w:start w:w="70" w:type="dxa"/>
              <w:bottom w:w="40" w:type="dxa"/>
              <w:end w:w="70" w:type="dxa"/>
            </w:tcMar>
            <w:shd w:fill="FFFFFF"/>
          </w:tcPr>
          <w:p>
            <w:pPr>
              <w:spacing w:after="0" w:before="0"/>
            </w:pPr>
            <w:r/>
            <w:r>
              <w:rPr>
                <w:rFonts w:ascii="Arial" w:hAnsi="Arial"/>
                <w:b w:val="0"/>
                <w:color w:val="16324F"/>
                <w:sz w:val="15"/>
              </w:rPr>
              <w:t>Production</w:t>
            </w:r>
          </w:p>
        </w:tc>
        <w:tc>
          <w:tcPr>
            <w:tcW w:type="dxa" w:w="2376"/>
            <w:vAlign w:val="center"/>
            <w:tcMar>
              <w:top w:w="40" w:type="dxa"/>
              <w:start w:w="70" w:type="dxa"/>
              <w:bottom w:w="40" w:type="dxa"/>
              <w:end w:w="70" w:type="dxa"/>
            </w:tcMar>
            <w:shd w:fill="FFFFFF"/>
          </w:tcPr>
          <w:p>
            <w:pPr>
              <w:spacing w:after="0" w:before="0"/>
            </w:pPr>
            <w:r/>
            <w:r>
              <w:rPr>
                <w:rFonts w:ascii="Arial" w:hAnsi="Arial"/>
                <w:b w:val="0"/>
                <w:color w:val="16324F"/>
                <w:sz w:val="15"/>
              </w:rPr>
              <w:t>Crop area</w:t>
            </w:r>
          </w:p>
        </w:tc>
        <w:tc>
          <w:tcPr>
            <w:tcW w:type="dxa" w:w="2232"/>
            <w:vAlign w:val="center"/>
            <w:tcMar>
              <w:top w:w="40" w:type="dxa"/>
              <w:start w:w="70" w:type="dxa"/>
              <w:bottom w:w="40" w:type="dxa"/>
              <w:end w:w="70" w:type="dxa"/>
            </w:tcMar>
            <w:shd w:fill="FFFFFF"/>
          </w:tcPr>
          <w:p>
            <w:pPr>
              <w:spacing w:after="0" w:before="0"/>
            </w:pPr>
            <w:r/>
            <w:r>
              <w:rPr>
                <w:rFonts w:ascii="Arial" w:hAnsi="Arial"/>
                <w:b w:val="0"/>
                <w:color w:val="16324F"/>
                <w:sz w:val="15"/>
              </w:rPr>
              <w:t>ha or lakh ha; retain source unit.</w:t>
            </w:r>
          </w:p>
        </w:tc>
        <w:tc>
          <w:tcPr>
            <w:tcW w:type="dxa" w:w="3240"/>
            <w:vAlign w:val="center"/>
            <w:tcMar>
              <w:top w:w="40" w:type="dxa"/>
              <w:start w:w="70" w:type="dxa"/>
              <w:bottom w:w="40" w:type="dxa"/>
              <w:end w:w="70" w:type="dxa"/>
            </w:tcMar>
            <w:shd w:fill="FFFFFF"/>
          </w:tcPr>
          <w:p>
            <w:pPr>
              <w:spacing w:after="0" w:before="0"/>
            </w:pPr>
            <w:r/>
            <w:r>
              <w:rPr>
                <w:rFonts w:ascii="Arial" w:hAnsi="Arial"/>
                <w:b w:val="0"/>
                <w:color w:val="16324F"/>
                <w:sz w:val="15"/>
              </w:rPr>
              <w:t>Land devoted to crop; area alone does not measure efficiency.</w:t>
            </w:r>
          </w:p>
        </w:tc>
      </w:tr>
      <w:tr>
        <w:tc>
          <w:tcPr>
            <w:tcW w:type="dxa" w:w="1296"/>
            <w:vAlign w:val="center"/>
            <w:tcMar>
              <w:top w:w="40" w:type="dxa"/>
              <w:start w:w="70" w:type="dxa"/>
              <w:bottom w:w="40" w:type="dxa"/>
              <w:end w:w="70" w:type="dxa"/>
            </w:tcMar>
            <w:shd w:fill="F5F8FA"/>
          </w:tcPr>
          <w:p>
            <w:pPr>
              <w:spacing w:after="0" w:before="0"/>
            </w:pPr>
            <w:r/>
            <w:r>
              <w:rPr>
                <w:rFonts w:ascii="Arial" w:hAnsi="Arial"/>
                <w:b w:val="0"/>
                <w:color w:val="16324F"/>
                <w:sz w:val="15"/>
              </w:rPr>
              <w:t>Production</w:t>
            </w:r>
          </w:p>
        </w:tc>
        <w:tc>
          <w:tcPr>
            <w:tcW w:type="dxa" w:w="2376"/>
            <w:vAlign w:val="center"/>
            <w:tcMar>
              <w:top w:w="40" w:type="dxa"/>
              <w:start w:w="70" w:type="dxa"/>
              <w:bottom w:w="40" w:type="dxa"/>
              <w:end w:w="70" w:type="dxa"/>
            </w:tcMar>
            <w:shd w:fill="F5F8FA"/>
          </w:tcPr>
          <w:p>
            <w:pPr>
              <w:spacing w:after="0" w:before="0"/>
            </w:pPr>
            <w:r/>
            <w:r>
              <w:rPr>
                <w:rFonts w:ascii="Arial" w:hAnsi="Arial"/>
                <w:b w:val="0"/>
                <w:color w:val="16324F"/>
                <w:sz w:val="15"/>
              </w:rPr>
              <w:t>Crop production</w:t>
            </w:r>
          </w:p>
        </w:tc>
        <w:tc>
          <w:tcPr>
            <w:tcW w:type="dxa" w:w="2232"/>
            <w:vAlign w:val="center"/>
            <w:tcMar>
              <w:top w:w="40" w:type="dxa"/>
              <w:start w:w="70" w:type="dxa"/>
              <w:bottom w:w="40" w:type="dxa"/>
              <w:end w:w="70" w:type="dxa"/>
            </w:tcMar>
            <w:shd w:fill="F5F8FA"/>
          </w:tcPr>
          <w:p>
            <w:pPr>
              <w:spacing w:after="0" w:before="0"/>
            </w:pPr>
            <w:r/>
            <w:r>
              <w:rPr>
                <w:rFonts w:ascii="Arial" w:hAnsi="Arial"/>
                <w:b w:val="0"/>
                <w:color w:val="16324F"/>
                <w:sz w:val="15"/>
              </w:rPr>
              <w:t>tonnes or lakh tonnes.</w:t>
            </w:r>
          </w:p>
        </w:tc>
        <w:tc>
          <w:tcPr>
            <w:tcW w:type="dxa" w:w="3240"/>
            <w:vAlign w:val="center"/>
            <w:tcMar>
              <w:top w:w="40" w:type="dxa"/>
              <w:start w:w="70" w:type="dxa"/>
              <w:bottom w:w="40" w:type="dxa"/>
              <w:end w:w="70" w:type="dxa"/>
            </w:tcMar>
            <w:shd w:fill="F5F8FA"/>
          </w:tcPr>
          <w:p>
            <w:pPr>
              <w:spacing w:after="0" w:before="0"/>
            </w:pPr>
            <w:r/>
            <w:r>
              <w:rPr>
                <w:rFonts w:ascii="Arial" w:hAnsi="Arial"/>
                <w:b w:val="0"/>
                <w:color w:val="16324F"/>
                <w:sz w:val="15"/>
              </w:rPr>
              <w:t>Total output; flag provisional/advance estimates.</w:t>
            </w:r>
          </w:p>
        </w:tc>
      </w:tr>
      <w:tr>
        <w:tc>
          <w:tcPr>
            <w:tcW w:type="dxa" w:w="1296"/>
            <w:vAlign w:val="center"/>
            <w:tcMar>
              <w:top w:w="40" w:type="dxa"/>
              <w:start w:w="70" w:type="dxa"/>
              <w:bottom w:w="40" w:type="dxa"/>
              <w:end w:w="70" w:type="dxa"/>
            </w:tcMar>
            <w:shd w:fill="FFFFFF"/>
          </w:tcPr>
          <w:p>
            <w:pPr>
              <w:spacing w:after="0" w:before="0"/>
            </w:pPr>
            <w:r/>
            <w:r>
              <w:rPr>
                <w:rFonts w:ascii="Arial" w:hAnsi="Arial"/>
                <w:b w:val="0"/>
                <w:color w:val="16324F"/>
                <w:sz w:val="15"/>
              </w:rPr>
              <w:t>Productivity</w:t>
            </w:r>
          </w:p>
        </w:tc>
        <w:tc>
          <w:tcPr>
            <w:tcW w:type="dxa" w:w="2376"/>
            <w:vAlign w:val="center"/>
            <w:tcMar>
              <w:top w:w="40" w:type="dxa"/>
              <w:start w:w="70" w:type="dxa"/>
              <w:bottom w:w="40" w:type="dxa"/>
              <w:end w:w="70" w:type="dxa"/>
            </w:tcMar>
            <w:shd w:fill="FFFFFF"/>
          </w:tcPr>
          <w:p>
            <w:pPr>
              <w:spacing w:after="0" w:before="0"/>
            </w:pPr>
            <w:r/>
            <w:r>
              <w:rPr>
                <w:rFonts w:ascii="Arial" w:hAnsi="Arial"/>
                <w:b w:val="0"/>
                <w:color w:val="16324F"/>
                <w:sz w:val="15"/>
              </w:rPr>
              <w:t>Crop yield</w:t>
            </w:r>
          </w:p>
        </w:tc>
        <w:tc>
          <w:tcPr>
            <w:tcW w:type="dxa" w:w="2232"/>
            <w:vAlign w:val="center"/>
            <w:tcMar>
              <w:top w:w="40" w:type="dxa"/>
              <w:start w:w="70" w:type="dxa"/>
              <w:bottom w:w="40" w:type="dxa"/>
              <w:end w:w="70" w:type="dxa"/>
            </w:tcMar>
            <w:shd w:fill="FFFFFF"/>
          </w:tcPr>
          <w:p>
            <w:pPr>
              <w:spacing w:after="0" w:before="0"/>
            </w:pPr>
            <w:r/>
            <w:r>
              <w:rPr>
                <w:rFonts w:ascii="Arial" w:hAnsi="Arial"/>
                <w:b w:val="0"/>
                <w:color w:val="16324F"/>
                <w:sz w:val="15"/>
              </w:rPr>
              <w:t>kg/ha.</w:t>
            </w:r>
          </w:p>
        </w:tc>
        <w:tc>
          <w:tcPr>
            <w:tcW w:type="dxa" w:w="3240"/>
            <w:vAlign w:val="center"/>
            <w:tcMar>
              <w:top w:w="40" w:type="dxa"/>
              <w:start w:w="70" w:type="dxa"/>
              <w:bottom w:w="40" w:type="dxa"/>
              <w:end w:w="70" w:type="dxa"/>
            </w:tcMar>
            <w:shd w:fill="FFFFFF"/>
          </w:tcPr>
          <w:p>
            <w:pPr>
              <w:spacing w:after="0" w:before="0"/>
            </w:pPr>
            <w:r/>
            <w:r>
              <w:rPr>
                <w:rFonts w:ascii="Arial" w:hAnsi="Arial"/>
                <w:b w:val="0"/>
                <w:color w:val="16324F"/>
                <w:sz w:val="15"/>
              </w:rPr>
              <w:t>Output per area; compare the same crop and definition.</w:t>
            </w:r>
          </w:p>
        </w:tc>
      </w:tr>
      <w:tr>
        <w:tc>
          <w:tcPr>
            <w:tcW w:type="dxa" w:w="1296"/>
            <w:vAlign w:val="center"/>
            <w:tcMar>
              <w:top w:w="40" w:type="dxa"/>
              <w:start w:w="70" w:type="dxa"/>
              <w:bottom w:w="40" w:type="dxa"/>
              <w:end w:w="70" w:type="dxa"/>
            </w:tcMar>
            <w:shd w:fill="F5F8FA"/>
          </w:tcPr>
          <w:p>
            <w:pPr>
              <w:spacing w:after="0" w:before="0"/>
            </w:pPr>
            <w:r/>
            <w:r>
              <w:rPr>
                <w:rFonts w:ascii="Arial" w:hAnsi="Arial"/>
                <w:b w:val="0"/>
                <w:color w:val="16324F"/>
                <w:sz w:val="15"/>
              </w:rPr>
              <w:t>Pricing</w:t>
            </w:r>
          </w:p>
        </w:tc>
        <w:tc>
          <w:tcPr>
            <w:tcW w:type="dxa" w:w="2376"/>
            <w:vAlign w:val="center"/>
            <w:tcMar>
              <w:top w:w="40" w:type="dxa"/>
              <w:start w:w="70" w:type="dxa"/>
              <w:bottom w:w="40" w:type="dxa"/>
              <w:end w:w="70" w:type="dxa"/>
            </w:tcMar>
            <w:shd w:fill="F5F8FA"/>
          </w:tcPr>
          <w:p>
            <w:pPr>
              <w:spacing w:after="0" w:before="0"/>
            </w:pPr>
            <w:r/>
            <w:r>
              <w:rPr>
                <w:rFonts w:ascii="Arial" w:hAnsi="Arial"/>
                <w:b w:val="0"/>
                <w:color w:val="16324F"/>
                <w:sz w:val="15"/>
              </w:rPr>
              <w:t>Modal price</w:t>
            </w:r>
          </w:p>
        </w:tc>
        <w:tc>
          <w:tcPr>
            <w:tcW w:type="dxa" w:w="2232"/>
            <w:vAlign w:val="center"/>
            <w:tcMar>
              <w:top w:w="40" w:type="dxa"/>
              <w:start w:w="70" w:type="dxa"/>
              <w:bottom w:w="40" w:type="dxa"/>
              <w:end w:w="70" w:type="dxa"/>
            </w:tcMar>
            <w:shd w:fill="F5F8FA"/>
          </w:tcPr>
          <w:p>
            <w:pPr>
              <w:spacing w:after="0" w:before="0"/>
            </w:pPr>
            <w:r/>
            <w:r>
              <w:rPr>
                <w:rFonts w:ascii="Arial" w:hAnsi="Arial"/>
                <w:b w:val="0"/>
                <w:color w:val="16324F"/>
                <w:sz w:val="15"/>
              </w:rPr>
              <w:t>Source unit; convert only with a documented factor.</w:t>
            </w:r>
          </w:p>
        </w:tc>
        <w:tc>
          <w:tcPr>
            <w:tcW w:type="dxa" w:w="3240"/>
            <w:vAlign w:val="center"/>
            <w:tcMar>
              <w:top w:w="40" w:type="dxa"/>
              <w:start w:w="70" w:type="dxa"/>
              <w:bottom w:w="40" w:type="dxa"/>
              <w:end w:w="70" w:type="dxa"/>
            </w:tcMar>
            <w:shd w:fill="F5F8FA"/>
          </w:tcPr>
          <w:p>
            <w:pPr>
              <w:spacing w:after="0" w:before="0"/>
            </w:pPr>
            <w:r/>
            <w:r>
              <w:rPr>
                <w:rFonts w:ascii="Arial" w:hAnsi="Arial"/>
                <w:b w:val="0"/>
                <w:color w:val="16324F"/>
                <w:sz w:val="15"/>
              </w:rPr>
              <w:t>Observed wholesale mode; not retail or farm-gate price.</w:t>
            </w:r>
          </w:p>
        </w:tc>
      </w:tr>
      <w:tr>
        <w:tc>
          <w:tcPr>
            <w:tcW w:type="dxa" w:w="1296"/>
            <w:vAlign w:val="center"/>
            <w:tcMar>
              <w:top w:w="40" w:type="dxa"/>
              <w:start w:w="70" w:type="dxa"/>
              <w:bottom w:w="40" w:type="dxa"/>
              <w:end w:w="70" w:type="dxa"/>
            </w:tcMar>
            <w:shd w:fill="FFFFFF"/>
          </w:tcPr>
          <w:p>
            <w:pPr>
              <w:spacing w:after="0" w:before="0"/>
            </w:pPr>
            <w:r/>
            <w:r>
              <w:rPr>
                <w:rFonts w:ascii="Arial" w:hAnsi="Arial"/>
                <w:b w:val="0"/>
                <w:color w:val="16324F"/>
                <w:sz w:val="15"/>
              </w:rPr>
              <w:t>Pricing</w:t>
            </w:r>
          </w:p>
        </w:tc>
        <w:tc>
          <w:tcPr>
            <w:tcW w:type="dxa" w:w="2376"/>
            <w:vAlign w:val="center"/>
            <w:tcMar>
              <w:top w:w="40" w:type="dxa"/>
              <w:start w:w="70" w:type="dxa"/>
              <w:bottom w:w="40" w:type="dxa"/>
              <w:end w:w="70" w:type="dxa"/>
            </w:tcMar>
            <w:shd w:fill="FFFFFF"/>
          </w:tcPr>
          <w:p>
            <w:pPr>
              <w:spacing w:after="0" w:before="0"/>
            </w:pPr>
            <w:r/>
            <w:r>
              <w:rPr>
                <w:rFonts w:ascii="Arial" w:hAnsi="Arial"/>
                <w:b w:val="0"/>
                <w:color w:val="16324F"/>
                <w:sz w:val="15"/>
              </w:rPr>
              <w:t>Price range / spread</w:t>
            </w:r>
          </w:p>
        </w:tc>
        <w:tc>
          <w:tcPr>
            <w:tcW w:type="dxa" w:w="2232"/>
            <w:vAlign w:val="center"/>
            <w:tcMar>
              <w:top w:w="40" w:type="dxa"/>
              <w:start w:w="70" w:type="dxa"/>
              <w:bottom w:w="40" w:type="dxa"/>
              <w:end w:w="70" w:type="dxa"/>
            </w:tcMar>
            <w:shd w:fill="FFFFFF"/>
          </w:tcPr>
          <w:p>
            <w:pPr>
              <w:spacing w:after="0" w:before="0"/>
            </w:pPr>
            <w:r/>
            <w:r>
              <w:rPr>
                <w:rFonts w:ascii="Arial" w:hAnsi="Arial"/>
                <w:b w:val="0"/>
                <w:color w:val="16324F"/>
                <w:sz w:val="15"/>
              </w:rPr>
              <w:t>Maximum − minimum for the same commodity, market and date.</w:t>
            </w:r>
          </w:p>
        </w:tc>
        <w:tc>
          <w:tcPr>
            <w:tcW w:type="dxa" w:w="3240"/>
            <w:vAlign w:val="center"/>
            <w:tcMar>
              <w:top w:w="40" w:type="dxa"/>
              <w:start w:w="70" w:type="dxa"/>
              <w:bottom w:w="40" w:type="dxa"/>
              <w:end w:w="70" w:type="dxa"/>
            </w:tcMar>
            <w:shd w:fill="FFFFFF"/>
          </w:tcPr>
          <w:p>
            <w:pPr>
              <w:spacing w:after="0" w:before="0"/>
            </w:pPr>
            <w:r/>
            <w:r>
              <w:rPr>
                <w:rFonts w:ascii="Arial" w:hAnsi="Arial"/>
                <w:b w:val="0"/>
                <w:color w:val="16324F"/>
                <w:sz w:val="15"/>
              </w:rPr>
              <w:t>Within-day range; grades and reporting can differ.</w:t>
            </w:r>
          </w:p>
        </w:tc>
      </w:tr>
      <w:tr>
        <w:tc>
          <w:tcPr>
            <w:tcW w:type="dxa" w:w="1296"/>
            <w:vAlign w:val="center"/>
            <w:tcMar>
              <w:top w:w="40" w:type="dxa"/>
              <w:start w:w="70" w:type="dxa"/>
              <w:bottom w:w="40" w:type="dxa"/>
              <w:end w:w="70" w:type="dxa"/>
            </w:tcMar>
            <w:shd w:fill="F5F8FA"/>
          </w:tcPr>
          <w:p>
            <w:pPr>
              <w:spacing w:after="0" w:before="0"/>
            </w:pPr>
            <w:r/>
            <w:r>
              <w:rPr>
                <w:rFonts w:ascii="Arial" w:hAnsi="Arial"/>
                <w:b w:val="0"/>
                <w:color w:val="16324F"/>
                <w:sz w:val="15"/>
              </w:rPr>
              <w:t>Pricing</w:t>
            </w:r>
          </w:p>
        </w:tc>
        <w:tc>
          <w:tcPr>
            <w:tcW w:type="dxa" w:w="2376"/>
            <w:vAlign w:val="center"/>
            <w:tcMar>
              <w:top w:w="40" w:type="dxa"/>
              <w:start w:w="70" w:type="dxa"/>
              <w:bottom w:w="40" w:type="dxa"/>
              <w:end w:w="70" w:type="dxa"/>
            </w:tcMar>
            <w:shd w:fill="F5F8FA"/>
          </w:tcPr>
          <w:p>
            <w:pPr>
              <w:spacing w:after="0" w:before="0"/>
            </w:pPr>
            <w:r/>
            <w:r>
              <w:rPr>
                <w:rFonts w:ascii="Arial" w:hAnsi="Arial"/>
                <w:b w:val="0"/>
                <w:color w:val="16324F"/>
                <w:sz w:val="15"/>
              </w:rPr>
              <w:t>Period-over-period change</w:t>
            </w:r>
          </w:p>
        </w:tc>
        <w:tc>
          <w:tcPr>
            <w:tcW w:type="dxa" w:w="2232"/>
            <w:vAlign w:val="center"/>
            <w:tcMar>
              <w:top w:w="40" w:type="dxa"/>
              <w:start w:w="70" w:type="dxa"/>
              <w:bottom w:w="40" w:type="dxa"/>
              <w:end w:w="70" w:type="dxa"/>
            </w:tcMar>
            <w:shd w:fill="F5F8FA"/>
          </w:tcPr>
          <w:p>
            <w:pPr>
              <w:spacing w:after="0" w:before="0"/>
            </w:pPr>
            <w:r/>
            <w:r>
              <w:rPr>
                <w:rFonts w:ascii="Arial" w:hAnsi="Arial"/>
                <w:b w:val="0"/>
                <w:color w:val="16324F"/>
                <w:sz w:val="15"/>
              </w:rPr>
              <w:t>100 × (P_t − P_(t−1)) / P_(t−1).</w:t>
            </w:r>
          </w:p>
        </w:tc>
        <w:tc>
          <w:tcPr>
            <w:tcW w:type="dxa" w:w="3240"/>
            <w:vAlign w:val="center"/>
            <w:tcMar>
              <w:top w:w="40" w:type="dxa"/>
              <w:start w:w="70" w:type="dxa"/>
              <w:bottom w:w="40" w:type="dxa"/>
              <w:end w:w="70" w:type="dxa"/>
            </w:tcMar>
            <w:shd w:fill="F5F8FA"/>
          </w:tcPr>
          <w:p>
            <w:pPr>
              <w:spacing w:after="0" w:before="0"/>
            </w:pPr>
            <w:r/>
            <w:r>
              <w:rPr>
                <w:rFonts w:ascii="Arial" w:hAnsi="Arial"/>
                <w:b w:val="0"/>
                <w:color w:val="16324F"/>
                <w:sz w:val="15"/>
              </w:rPr>
              <w:t>Price movement; undefined if prior price is zero or missing.</w:t>
            </w:r>
          </w:p>
        </w:tc>
      </w:tr>
      <w:tr>
        <w:tc>
          <w:tcPr>
            <w:tcW w:type="dxa" w:w="1296"/>
            <w:vAlign w:val="center"/>
            <w:tcMar>
              <w:top w:w="40" w:type="dxa"/>
              <w:start w:w="70" w:type="dxa"/>
              <w:bottom w:w="40" w:type="dxa"/>
              <w:end w:w="70" w:type="dxa"/>
            </w:tcMar>
            <w:shd w:fill="FFFFFF"/>
          </w:tcPr>
          <w:p>
            <w:pPr>
              <w:spacing w:after="0" w:before="0"/>
            </w:pPr>
            <w:r/>
            <w:r>
              <w:rPr>
                <w:rFonts w:ascii="Arial" w:hAnsi="Arial"/>
                <w:b w:val="0"/>
                <w:color w:val="16324F"/>
                <w:sz w:val="15"/>
              </w:rPr>
              <w:t>Pricing</w:t>
            </w:r>
          </w:p>
        </w:tc>
        <w:tc>
          <w:tcPr>
            <w:tcW w:type="dxa" w:w="2376"/>
            <w:vAlign w:val="center"/>
            <w:tcMar>
              <w:top w:w="40" w:type="dxa"/>
              <w:start w:w="70" w:type="dxa"/>
              <w:bottom w:w="40" w:type="dxa"/>
              <w:end w:w="70" w:type="dxa"/>
            </w:tcMar>
            <w:shd w:fill="FFFFFF"/>
          </w:tcPr>
          <w:p>
            <w:pPr>
              <w:spacing w:after="0" w:before="0"/>
            </w:pPr>
            <w:r/>
            <w:r>
              <w:rPr>
                <w:rFonts w:ascii="Arial" w:hAnsi="Arial"/>
                <w:b w:val="0"/>
                <w:color w:val="16324F"/>
                <w:sz w:val="15"/>
              </w:rPr>
              <w:t>Price volatility</w:t>
            </w:r>
          </w:p>
        </w:tc>
        <w:tc>
          <w:tcPr>
            <w:tcW w:type="dxa" w:w="2232"/>
            <w:vAlign w:val="center"/>
            <w:tcMar>
              <w:top w:w="40" w:type="dxa"/>
              <w:start w:w="70" w:type="dxa"/>
              <w:bottom w:w="40" w:type="dxa"/>
              <w:end w:w="70" w:type="dxa"/>
            </w:tcMar>
            <w:shd w:fill="FFFFFF"/>
          </w:tcPr>
          <w:p>
            <w:pPr>
              <w:spacing w:after="0" w:before="0"/>
            </w:pPr>
            <w:r/>
            <w:r>
              <w:rPr>
                <w:rFonts w:ascii="Arial" w:hAnsi="Arial"/>
                <w:b w:val="0"/>
                <w:color w:val="16324F"/>
                <w:sz w:val="15"/>
              </w:rPr>
              <w:t>SD or coefficient of variation of comparable weekly/monthly prices.</w:t>
            </w:r>
          </w:p>
        </w:tc>
        <w:tc>
          <w:tcPr>
            <w:tcW w:type="dxa" w:w="3240"/>
            <w:vAlign w:val="center"/>
            <w:tcMar>
              <w:top w:w="40" w:type="dxa"/>
              <w:start w:w="70" w:type="dxa"/>
              <w:bottom w:w="40" w:type="dxa"/>
              <w:end w:w="70" w:type="dxa"/>
            </w:tcMar>
            <w:shd w:fill="FFFFFF"/>
          </w:tcPr>
          <w:p>
            <w:pPr>
              <w:spacing w:after="0" w:before="0"/>
            </w:pPr>
            <w:r/>
            <w:r>
              <w:rPr>
                <w:rFonts w:ascii="Arial" w:hAnsi="Arial"/>
                <w:b w:val="0"/>
                <w:color w:val="16324F"/>
                <w:sz w:val="15"/>
              </w:rPr>
              <w:t>Variability; compare consistent periods and units.</w:t>
            </w:r>
          </w:p>
        </w:tc>
      </w:tr>
      <w:tr>
        <w:tc>
          <w:tcPr>
            <w:tcW w:type="dxa" w:w="1296"/>
            <w:vAlign w:val="center"/>
            <w:tcMar>
              <w:top w:w="40" w:type="dxa"/>
              <w:start w:w="70" w:type="dxa"/>
              <w:bottom w:w="40" w:type="dxa"/>
              <w:end w:w="70" w:type="dxa"/>
            </w:tcMar>
            <w:shd w:fill="F5F8FA"/>
          </w:tcPr>
          <w:p>
            <w:pPr>
              <w:spacing w:after="0" w:before="0"/>
            </w:pPr>
            <w:r/>
            <w:r>
              <w:rPr>
                <w:rFonts w:ascii="Arial" w:hAnsi="Arial"/>
                <w:b w:val="0"/>
                <w:color w:val="16324F"/>
                <w:sz w:val="15"/>
              </w:rPr>
              <w:t>Market flow</w:t>
            </w:r>
          </w:p>
        </w:tc>
        <w:tc>
          <w:tcPr>
            <w:tcW w:type="dxa" w:w="2376"/>
            <w:vAlign w:val="center"/>
            <w:tcMar>
              <w:top w:w="40" w:type="dxa"/>
              <w:start w:w="70" w:type="dxa"/>
              <w:bottom w:w="40" w:type="dxa"/>
              <w:end w:w="70" w:type="dxa"/>
            </w:tcMar>
            <w:shd w:fill="F5F8FA"/>
          </w:tcPr>
          <w:p>
            <w:pPr>
              <w:spacing w:after="0" w:before="0"/>
            </w:pPr>
            <w:r/>
            <w:r>
              <w:rPr>
                <w:rFonts w:ascii="Arial" w:hAnsi="Arial"/>
                <w:b w:val="0"/>
                <w:color w:val="16324F"/>
                <w:sz w:val="15"/>
              </w:rPr>
              <w:t>Market arrivals</w:t>
            </w:r>
          </w:p>
        </w:tc>
        <w:tc>
          <w:tcPr>
            <w:tcW w:type="dxa" w:w="2232"/>
            <w:vAlign w:val="center"/>
            <w:tcMar>
              <w:top w:w="40" w:type="dxa"/>
              <w:start w:w="70" w:type="dxa"/>
              <w:bottom w:w="40" w:type="dxa"/>
              <w:end w:w="70" w:type="dxa"/>
            </w:tcMar>
            <w:shd w:fill="F5F8FA"/>
          </w:tcPr>
          <w:p>
            <w:pPr>
              <w:spacing w:after="0" w:before="0"/>
            </w:pPr>
            <w:r/>
            <w:r>
              <w:rPr>
                <w:rFonts w:ascii="Arial" w:hAnsi="Arial"/>
                <w:b w:val="0"/>
                <w:color w:val="16324F"/>
                <w:sz w:val="15"/>
              </w:rPr>
              <w:t>Arrival quantity in the source unit.</w:t>
            </w:r>
          </w:p>
        </w:tc>
        <w:tc>
          <w:tcPr>
            <w:tcW w:type="dxa" w:w="3240"/>
            <w:vAlign w:val="center"/>
            <w:tcMar>
              <w:top w:w="40" w:type="dxa"/>
              <w:start w:w="70" w:type="dxa"/>
              <w:bottom w:w="40" w:type="dxa"/>
              <w:end w:w="70" w:type="dxa"/>
            </w:tcMar>
            <w:shd w:fill="F5F8FA"/>
          </w:tcPr>
          <w:p>
            <w:pPr>
              <w:spacing w:after="0" w:before="0"/>
            </w:pPr>
            <w:r/>
            <w:r>
              <w:rPr>
                <w:rFonts w:ascii="Arial" w:hAnsi="Arial"/>
                <w:b w:val="0"/>
                <w:color w:val="16324F"/>
                <w:sz w:val="15"/>
              </w:rPr>
              <w:t>Market inflow; not equal to total production.</w:t>
            </w:r>
          </w:p>
        </w:tc>
      </w:tr>
      <w:tr>
        <w:tc>
          <w:tcPr>
            <w:tcW w:type="dxa" w:w="1296"/>
            <w:vAlign w:val="center"/>
            <w:tcMar>
              <w:top w:w="40" w:type="dxa"/>
              <w:start w:w="70" w:type="dxa"/>
              <w:bottom w:w="40" w:type="dxa"/>
              <w:end w:w="70" w:type="dxa"/>
            </w:tcMar>
            <w:shd w:fill="FFFFFF"/>
          </w:tcPr>
          <w:p>
            <w:pPr>
              <w:spacing w:after="0" w:before="0"/>
            </w:pPr>
            <w:r/>
            <w:r>
              <w:rPr>
                <w:rFonts w:ascii="Arial" w:hAnsi="Arial"/>
                <w:b w:val="0"/>
                <w:color w:val="16324F"/>
                <w:sz w:val="15"/>
              </w:rPr>
              <w:t>Climate</w:t>
            </w:r>
          </w:p>
        </w:tc>
        <w:tc>
          <w:tcPr>
            <w:tcW w:type="dxa" w:w="2376"/>
            <w:vAlign w:val="center"/>
            <w:tcMar>
              <w:top w:w="40" w:type="dxa"/>
              <w:start w:w="70" w:type="dxa"/>
              <w:bottom w:w="40" w:type="dxa"/>
              <w:end w:w="70" w:type="dxa"/>
            </w:tcMar>
            <w:shd w:fill="FFFFFF"/>
          </w:tcPr>
          <w:p>
            <w:pPr>
              <w:spacing w:after="0" w:before="0"/>
            </w:pPr>
            <w:r/>
            <w:r>
              <w:rPr>
                <w:rFonts w:ascii="Arial" w:hAnsi="Arial"/>
                <w:b w:val="0"/>
                <w:color w:val="16324F"/>
                <w:sz w:val="15"/>
              </w:rPr>
              <w:t>Rainfall total / anomaly</w:t>
            </w:r>
          </w:p>
        </w:tc>
        <w:tc>
          <w:tcPr>
            <w:tcW w:type="dxa" w:w="2232"/>
            <w:vAlign w:val="center"/>
            <w:tcMar>
              <w:top w:w="40" w:type="dxa"/>
              <w:start w:w="70" w:type="dxa"/>
              <w:bottom w:w="40" w:type="dxa"/>
              <w:end w:w="70" w:type="dxa"/>
            </w:tcMar>
            <w:shd w:fill="FFFFFF"/>
          </w:tcPr>
          <w:p>
            <w:pPr>
              <w:spacing w:after="0" w:before="0"/>
            </w:pPr>
            <w:r/>
            <w:r>
              <w:rPr>
                <w:rFonts w:ascii="Arial" w:hAnsi="Arial"/>
                <w:b w:val="0"/>
                <w:color w:val="16324F"/>
                <w:sz w:val="15"/>
              </w:rPr>
              <w:t>mm; observed minus long-run normal when defined.</w:t>
            </w:r>
          </w:p>
        </w:tc>
        <w:tc>
          <w:tcPr>
            <w:tcW w:type="dxa" w:w="3240"/>
            <w:vAlign w:val="center"/>
            <w:tcMar>
              <w:top w:w="40" w:type="dxa"/>
              <w:start w:w="70" w:type="dxa"/>
              <w:bottom w:w="40" w:type="dxa"/>
              <w:end w:w="70" w:type="dxa"/>
            </w:tcMar>
            <w:shd w:fill="FFFFFF"/>
          </w:tcPr>
          <w:p>
            <w:pPr>
              <w:spacing w:after="0" w:before="0"/>
            </w:pPr>
            <w:r/>
            <w:r>
              <w:rPr>
                <w:rFonts w:ascii="Arial" w:hAnsi="Arial"/>
                <w:b w:val="0"/>
                <w:color w:val="16324F"/>
                <w:sz w:val="15"/>
              </w:rPr>
              <w:t>Seasonal context; association is not causation.</w:t>
            </w:r>
          </w:p>
        </w:tc>
      </w:tr>
      <w:tr>
        <w:tc>
          <w:tcPr>
            <w:tcW w:type="dxa" w:w="1296"/>
            <w:vAlign w:val="center"/>
            <w:tcMar>
              <w:top w:w="40" w:type="dxa"/>
              <w:start w:w="70" w:type="dxa"/>
              <w:bottom w:w="40" w:type="dxa"/>
              <w:end w:w="70" w:type="dxa"/>
            </w:tcMar>
            <w:shd w:fill="F5F8FA"/>
          </w:tcPr>
          <w:p>
            <w:pPr>
              <w:spacing w:after="0" w:before="0"/>
            </w:pPr>
            <w:r/>
            <w:r>
              <w:rPr>
                <w:rFonts w:ascii="Arial" w:hAnsi="Arial"/>
                <w:b w:val="0"/>
                <w:color w:val="16324F"/>
                <w:sz w:val="15"/>
              </w:rPr>
              <w:t>Resource use</w:t>
            </w:r>
          </w:p>
        </w:tc>
        <w:tc>
          <w:tcPr>
            <w:tcW w:type="dxa" w:w="2376"/>
            <w:vAlign w:val="center"/>
            <w:tcMar>
              <w:top w:w="40" w:type="dxa"/>
              <w:start w:w="70" w:type="dxa"/>
              <w:bottom w:w="40" w:type="dxa"/>
              <w:end w:w="70" w:type="dxa"/>
            </w:tcMar>
            <w:shd w:fill="F5F8FA"/>
          </w:tcPr>
          <w:p>
            <w:pPr>
              <w:spacing w:after="0" w:before="0"/>
            </w:pPr>
            <w:r/>
            <w:r>
              <w:rPr>
                <w:rFonts w:ascii="Arial" w:hAnsi="Arial"/>
                <w:b w:val="0"/>
                <w:color w:val="16324F"/>
                <w:sz w:val="15"/>
              </w:rPr>
              <w:t>Fertilizer consumption</w:t>
            </w:r>
          </w:p>
        </w:tc>
        <w:tc>
          <w:tcPr>
            <w:tcW w:type="dxa" w:w="2232"/>
            <w:vAlign w:val="center"/>
            <w:tcMar>
              <w:top w:w="40" w:type="dxa"/>
              <w:start w:w="70" w:type="dxa"/>
              <w:bottom w:w="40" w:type="dxa"/>
              <w:end w:w="70" w:type="dxa"/>
            </w:tcMar>
            <w:shd w:fill="F5F8FA"/>
          </w:tcPr>
          <w:p>
            <w:pPr>
              <w:spacing w:after="0" w:before="0"/>
            </w:pPr>
            <w:r/>
            <w:r>
              <w:rPr>
                <w:rFonts w:ascii="Arial" w:hAnsi="Arial"/>
                <w:b w:val="0"/>
                <w:color w:val="16324F"/>
                <w:sz w:val="15"/>
              </w:rPr>
              <w:t>Source unit, such as kg/ha.</w:t>
            </w:r>
          </w:p>
        </w:tc>
        <w:tc>
          <w:tcPr>
            <w:tcW w:type="dxa" w:w="3240"/>
            <w:vAlign w:val="center"/>
            <w:tcMar>
              <w:top w:w="40" w:type="dxa"/>
              <w:start w:w="70" w:type="dxa"/>
              <w:bottom w:w="40" w:type="dxa"/>
              <w:end w:w="70" w:type="dxa"/>
            </w:tcMar>
            <w:shd w:fill="F5F8FA"/>
          </w:tcPr>
          <w:p>
            <w:pPr>
              <w:spacing w:after="0" w:before="0"/>
            </w:pPr>
            <w:r/>
            <w:r>
              <w:rPr>
                <w:rFonts w:ascii="Arial" w:hAnsi="Arial"/>
                <w:b w:val="0"/>
                <w:color w:val="16324F"/>
                <w:sz w:val="15"/>
              </w:rPr>
              <w:t>Input-intensity proxy; national values do not describe a farm.</w:t>
            </w:r>
          </w:p>
        </w:tc>
      </w:tr>
      <w:tr>
        <w:tc>
          <w:tcPr>
            <w:tcW w:type="dxa" w:w="1296"/>
            <w:vAlign w:val="center"/>
            <w:tcMar>
              <w:top w:w="40" w:type="dxa"/>
              <w:start w:w="70" w:type="dxa"/>
              <w:bottom w:w="40" w:type="dxa"/>
              <w:end w:w="70" w:type="dxa"/>
            </w:tcMar>
            <w:shd w:fill="FFFFFF"/>
          </w:tcPr>
          <w:p>
            <w:pPr>
              <w:spacing w:after="0" w:before="0"/>
            </w:pPr>
            <w:r/>
            <w:r>
              <w:rPr>
                <w:rFonts w:ascii="Arial" w:hAnsi="Arial"/>
                <w:b w:val="0"/>
                <w:color w:val="16324F"/>
                <w:sz w:val="15"/>
              </w:rPr>
              <w:t>Resource use</w:t>
            </w:r>
          </w:p>
        </w:tc>
        <w:tc>
          <w:tcPr>
            <w:tcW w:type="dxa" w:w="2376"/>
            <w:vAlign w:val="center"/>
            <w:tcMar>
              <w:top w:w="40" w:type="dxa"/>
              <w:start w:w="70" w:type="dxa"/>
              <w:bottom w:w="40" w:type="dxa"/>
              <w:end w:w="70" w:type="dxa"/>
            </w:tcMar>
            <w:shd w:fill="FFFFFF"/>
          </w:tcPr>
          <w:p>
            <w:pPr>
              <w:spacing w:after="0" w:before="0"/>
            </w:pPr>
            <w:r/>
            <w:r>
              <w:rPr>
                <w:rFonts w:ascii="Arial" w:hAnsi="Arial"/>
                <w:b w:val="0"/>
                <w:color w:val="16324F"/>
                <w:sz w:val="15"/>
              </w:rPr>
              <w:t>Irrigated agricultural land</w:t>
            </w:r>
          </w:p>
        </w:tc>
        <w:tc>
          <w:tcPr>
            <w:tcW w:type="dxa" w:w="2232"/>
            <w:vAlign w:val="center"/>
            <w:tcMar>
              <w:top w:w="40" w:type="dxa"/>
              <w:start w:w="70" w:type="dxa"/>
              <w:bottom w:w="40" w:type="dxa"/>
              <w:end w:w="70" w:type="dxa"/>
            </w:tcMar>
            <w:shd w:fill="FFFFFF"/>
          </w:tcPr>
          <w:p>
            <w:pPr>
              <w:spacing w:after="0" w:before="0"/>
            </w:pPr>
            <w:r/>
            <w:r>
              <w:rPr>
                <w:rFonts w:ascii="Arial" w:hAnsi="Arial"/>
                <w:b w:val="0"/>
                <w:color w:val="16324F"/>
                <w:sz w:val="15"/>
              </w:rPr>
              <w:t>% of agricultural land per source definition.</w:t>
            </w:r>
          </w:p>
        </w:tc>
        <w:tc>
          <w:tcPr>
            <w:tcW w:type="dxa" w:w="3240"/>
            <w:vAlign w:val="center"/>
            <w:tcMar>
              <w:top w:w="40" w:type="dxa"/>
              <w:start w:w="70" w:type="dxa"/>
              <w:bottom w:w="40" w:type="dxa"/>
              <w:end w:w="70" w:type="dxa"/>
            </w:tcMar>
            <w:shd w:fill="FFFFFF"/>
          </w:tcPr>
          <w:p>
            <w:pPr>
              <w:spacing w:after="0" w:before="0"/>
            </w:pPr>
            <w:r/>
            <w:r>
              <w:rPr>
                <w:rFonts w:ascii="Arial" w:hAnsi="Arial"/>
                <w:b w:val="0"/>
                <w:color w:val="16324F"/>
                <w:sz w:val="15"/>
              </w:rPr>
              <w:t>Irrigated share; not the water actually applied.</w:t>
            </w:r>
          </w:p>
        </w:tc>
      </w:tr>
      <w:tr>
        <w:tc>
          <w:tcPr>
            <w:tcW w:type="dxa" w:w="1296"/>
            <w:vAlign w:val="center"/>
            <w:tcMar>
              <w:top w:w="40" w:type="dxa"/>
              <w:start w:w="70" w:type="dxa"/>
              <w:bottom w:w="40" w:type="dxa"/>
              <w:end w:w="70" w:type="dxa"/>
            </w:tcMar>
            <w:shd w:fill="F5F8FA"/>
          </w:tcPr>
          <w:p>
            <w:pPr>
              <w:spacing w:after="0" w:before="0"/>
            </w:pPr>
            <w:r/>
            <w:r>
              <w:rPr>
                <w:rFonts w:ascii="Arial" w:hAnsi="Arial"/>
                <w:b w:val="0"/>
                <w:color w:val="16324F"/>
                <w:sz w:val="15"/>
              </w:rPr>
              <w:t>Sustainability</w:t>
            </w:r>
          </w:p>
        </w:tc>
        <w:tc>
          <w:tcPr>
            <w:tcW w:type="dxa" w:w="2376"/>
            <w:vAlign w:val="center"/>
            <w:tcMar>
              <w:top w:w="40" w:type="dxa"/>
              <w:start w:w="70" w:type="dxa"/>
              <w:bottom w:w="40" w:type="dxa"/>
              <w:end w:w="70" w:type="dxa"/>
            </w:tcMar>
            <w:shd w:fill="F5F8FA"/>
          </w:tcPr>
          <w:p>
            <w:pPr>
              <w:spacing w:after="0" w:before="0"/>
            </w:pPr>
            <w:r/>
            <w:r>
              <w:rPr>
                <w:rFonts w:ascii="Arial" w:hAnsi="Arial"/>
                <w:b w:val="0"/>
                <w:color w:val="16324F"/>
                <w:sz w:val="15"/>
              </w:rPr>
              <w:t>Water productivity (optional)</w:t>
            </w:r>
          </w:p>
        </w:tc>
        <w:tc>
          <w:tcPr>
            <w:tcW w:type="dxa" w:w="2232"/>
            <w:vAlign w:val="center"/>
            <w:tcMar>
              <w:top w:w="40" w:type="dxa"/>
              <w:start w:w="70" w:type="dxa"/>
              <w:bottom w:w="40" w:type="dxa"/>
              <w:end w:w="70" w:type="dxa"/>
            </w:tcMar>
            <w:shd w:fill="F5F8FA"/>
          </w:tcPr>
          <w:p>
            <w:pPr>
              <w:spacing w:after="0" w:before="0"/>
            </w:pPr>
            <w:r/>
            <w:r>
              <w:rPr>
                <w:rFonts w:ascii="Arial" w:hAnsi="Arial"/>
                <w:b w:val="0"/>
                <w:color w:val="16324F"/>
                <w:sz w:val="15"/>
              </w:rPr>
              <w:t>Crop output / measured water use.</w:t>
            </w:r>
          </w:p>
        </w:tc>
        <w:tc>
          <w:tcPr>
            <w:tcW w:type="dxa" w:w="3240"/>
            <w:vAlign w:val="center"/>
            <w:tcMar>
              <w:top w:w="40" w:type="dxa"/>
              <w:start w:w="70" w:type="dxa"/>
              <w:bottom w:w="40" w:type="dxa"/>
              <w:end w:w="70" w:type="dxa"/>
            </w:tcMar>
            <w:shd w:fill="F5F8FA"/>
          </w:tcPr>
          <w:p>
            <w:pPr>
              <w:spacing w:after="0" w:before="0"/>
            </w:pPr>
            <w:r/>
            <w:r>
              <w:rPr>
                <w:rFonts w:ascii="Arial" w:hAnsi="Arial"/>
                <w:b w:val="0"/>
                <w:color w:val="16324F"/>
                <w:sz w:val="15"/>
              </w:rPr>
              <w:t>Use only with credible matched water-use records.</w:t>
            </w:r>
          </w:p>
        </w:tc>
      </w:tr>
    </w:tbl>
    <w:p>
      <w:pPr>
        <w:spacing w:after="0"/>
      </w:pPr>
    </w:p>
    <w:p>
      <w:pPr>
        <w:pStyle w:val="Heading2"/>
        <w:keepNext/>
        <w:spacing w:before="120" w:after="60"/>
      </w:pPr>
      <w:r>
        <w:t>3.1 Derived indicators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6324F"/>
            <w:vAlign w:val="center"/>
            <w:tcMar>
              <w:top w:w="45" w:type="dxa"/>
              <w:start w:w="80" w:type="dxa"/>
              <w:bottom w:w="45" w:type="dxa"/>
              <w:end w:w="80" w:type="dxa"/>
            </w:tcMar>
          </w:tcPr>
          <w:p>
            <w:pPr>
              <w:spacing w:after="0" w:before="0"/>
            </w:pPr>
            <w:r/>
            <w:r>
              <w:rPr>
                <w:rFonts w:ascii="Arial" w:hAnsi="Arial"/>
                <w:b/>
                <w:color w:val="FFFFFF"/>
                <w:sz w:val="15"/>
              </w:rPr>
              <w:t>Indicator</w:t>
            </w:r>
          </w:p>
        </w:tc>
        <w:tc>
          <w:tcPr>
            <w:tcW w:type="dxa" w:w="3672"/>
            <w:shd w:fill="16324F"/>
            <w:vAlign w:val="center"/>
            <w:tcMar>
              <w:top w:w="45" w:type="dxa"/>
              <w:start w:w="80" w:type="dxa"/>
              <w:bottom w:w="45" w:type="dxa"/>
              <w:end w:w="80" w:type="dxa"/>
            </w:tcMar>
          </w:tcPr>
          <w:p>
            <w:pPr>
              <w:spacing w:after="0" w:before="0"/>
            </w:pPr>
            <w:r/>
            <w:r>
              <w:rPr>
                <w:rFonts w:ascii="Arial" w:hAnsi="Arial"/>
                <w:b/>
                <w:color w:val="FFFFFF"/>
                <w:sz w:val="15"/>
              </w:rPr>
              <w:t>Formula</w:t>
            </w:r>
          </w:p>
        </w:tc>
        <w:tc>
          <w:tcPr>
            <w:tcW w:type="dxa" w:w="3744"/>
            <w:shd w:fill="16324F"/>
            <w:vAlign w:val="center"/>
            <w:tcMar>
              <w:top w:w="45" w:type="dxa"/>
              <w:start w:w="80" w:type="dxa"/>
              <w:bottom w:w="45" w:type="dxa"/>
              <w:end w:w="80" w:type="dxa"/>
            </w:tcMar>
          </w:tcPr>
          <w:p>
            <w:pPr>
              <w:spacing w:after="0" w:before="0"/>
            </w:pPr>
            <w:r/>
            <w:r>
              <w:rPr>
                <w:rFonts w:ascii="Arial" w:hAnsi="Arial"/>
                <w:b/>
                <w:color w:val="FFFFFF"/>
                <w:sz w:val="15"/>
              </w:rPr>
              <w:t>Quality check</w:t>
            </w:r>
          </w:p>
        </w:tc>
      </w:tr>
      <w:tr>
        <w:tc>
          <w:tcPr>
            <w:tcW w:type="dxa" w:w="1728"/>
            <w:vAlign w:val="center"/>
            <w:tcMar>
              <w:top w:w="45" w:type="dxa"/>
              <w:start w:w="80" w:type="dxa"/>
              <w:bottom w:w="45" w:type="dxa"/>
              <w:end w:w="80" w:type="dxa"/>
            </w:tcMar>
            <w:shd w:fill="FFFFFF"/>
          </w:tcPr>
          <w:p>
            <w:pPr>
              <w:spacing w:after="0" w:before="0"/>
            </w:pPr>
            <w:r/>
            <w:r>
              <w:rPr>
                <w:rFonts w:ascii="Arial" w:hAnsi="Arial"/>
                <w:b w:val="0"/>
                <w:color w:val="16324F"/>
                <w:sz w:val="15"/>
              </w:rPr>
              <w:t>Year-over-year crop change</w:t>
            </w:r>
          </w:p>
        </w:tc>
        <w:tc>
          <w:tcPr>
            <w:tcW w:type="dxa" w:w="3672"/>
            <w:vAlign w:val="center"/>
            <w:tcMar>
              <w:top w:w="45" w:type="dxa"/>
              <w:start w:w="80" w:type="dxa"/>
              <w:bottom w:w="45" w:type="dxa"/>
              <w:end w:w="80" w:type="dxa"/>
            </w:tcMar>
            <w:shd w:fill="FFFFFF"/>
          </w:tcPr>
          <w:p>
            <w:pPr>
              <w:spacing w:after="0" w:before="0"/>
            </w:pPr>
            <w:r/>
            <w:r>
              <w:rPr>
                <w:rFonts w:ascii="Arial" w:hAnsi="Arial"/>
                <w:b w:val="0"/>
                <w:color w:val="16324F"/>
                <w:sz w:val="15"/>
              </w:rPr>
              <w:t>100 × (X_t − X_(t−1)) / X_(t−1)</w:t>
            </w:r>
          </w:p>
        </w:tc>
        <w:tc>
          <w:tcPr>
            <w:tcW w:type="dxa" w:w="3744"/>
            <w:vAlign w:val="center"/>
            <w:tcMar>
              <w:top w:w="45" w:type="dxa"/>
              <w:start w:w="80" w:type="dxa"/>
              <w:bottom w:w="45" w:type="dxa"/>
              <w:end w:w="80" w:type="dxa"/>
            </w:tcMar>
            <w:shd w:fill="FFFFFF"/>
          </w:tcPr>
          <w:p>
            <w:pPr>
              <w:spacing w:after="0" w:before="0"/>
            </w:pPr>
            <w:r/>
            <w:r>
              <w:rPr>
                <w:rFonts w:ascii="Arial" w:hAnsi="Arial"/>
                <w:b w:val="0"/>
                <w:color w:val="16324F"/>
                <w:sz w:val="15"/>
              </w:rPr>
              <w:t>Denominator must be non-zero; flag provisional years.</w:t>
            </w:r>
          </w:p>
        </w:tc>
      </w:tr>
      <w:tr>
        <w:tc>
          <w:tcPr>
            <w:tcW w:type="dxa" w:w="1728"/>
            <w:vAlign w:val="center"/>
            <w:tcMar>
              <w:top w:w="45" w:type="dxa"/>
              <w:start w:w="80" w:type="dxa"/>
              <w:bottom w:w="45" w:type="dxa"/>
              <w:end w:w="80" w:type="dxa"/>
            </w:tcMar>
            <w:shd w:fill="F5F8FA"/>
          </w:tcPr>
          <w:p>
            <w:pPr>
              <w:spacing w:after="0" w:before="0"/>
            </w:pPr>
            <w:r/>
            <w:r>
              <w:rPr>
                <w:rFonts w:ascii="Arial" w:hAnsi="Arial"/>
                <w:b w:val="0"/>
                <w:color w:val="16324F"/>
                <w:sz w:val="15"/>
              </w:rPr>
              <w:t>Mean price per month</w:t>
            </w:r>
          </w:p>
        </w:tc>
        <w:tc>
          <w:tcPr>
            <w:tcW w:type="dxa" w:w="3672"/>
            <w:vAlign w:val="center"/>
            <w:tcMar>
              <w:top w:w="45" w:type="dxa"/>
              <w:start w:w="80" w:type="dxa"/>
              <w:bottom w:w="45" w:type="dxa"/>
              <w:end w:w="80" w:type="dxa"/>
            </w:tcMar>
            <w:shd w:fill="F5F8FA"/>
          </w:tcPr>
          <w:p>
            <w:pPr>
              <w:spacing w:after="0" w:before="0"/>
            </w:pPr>
            <w:r/>
            <w:r>
              <w:rPr>
                <w:rFonts w:ascii="Arial" w:hAnsi="Arial"/>
                <w:b w:val="0"/>
                <w:color w:val="16324F"/>
                <w:sz w:val="15"/>
              </w:rPr>
              <w:t>Mean of valid prices within commodity-market-month.</w:t>
            </w:r>
          </w:p>
        </w:tc>
        <w:tc>
          <w:tcPr>
            <w:tcW w:type="dxa" w:w="3744"/>
            <w:vAlign w:val="center"/>
            <w:tcMar>
              <w:top w:w="45" w:type="dxa"/>
              <w:start w:w="80" w:type="dxa"/>
              <w:bottom w:w="45" w:type="dxa"/>
              <w:end w:w="80" w:type="dxa"/>
            </w:tcMar>
            <w:shd w:fill="F5F8FA"/>
          </w:tcPr>
          <w:p>
            <w:pPr>
              <w:spacing w:after="0" w:before="0"/>
            </w:pPr>
            <w:r/>
            <w:r>
              <w:rPr>
                <w:rFonts w:ascii="Arial" w:hAnsi="Arial"/>
                <w:b w:val="0"/>
                <w:color w:val="16324F"/>
                <w:sz w:val="15"/>
              </w:rPr>
              <w:t>Show observation count; flag sparse months.</w:t>
            </w:r>
          </w:p>
        </w:tc>
      </w:tr>
      <w:tr>
        <w:tc>
          <w:tcPr>
            <w:tcW w:type="dxa" w:w="1728"/>
            <w:vAlign w:val="center"/>
            <w:tcMar>
              <w:top w:w="45" w:type="dxa"/>
              <w:start w:w="80" w:type="dxa"/>
              <w:bottom w:w="45" w:type="dxa"/>
              <w:end w:w="80" w:type="dxa"/>
            </w:tcMar>
            <w:shd w:fill="FFFFFF"/>
          </w:tcPr>
          <w:p>
            <w:pPr>
              <w:spacing w:after="0" w:before="0"/>
            </w:pPr>
            <w:r/>
            <w:r>
              <w:rPr>
                <w:rFonts w:ascii="Arial" w:hAnsi="Arial"/>
                <w:b w:val="0"/>
                <w:color w:val="16324F"/>
                <w:sz w:val="15"/>
              </w:rPr>
              <w:t>Missing rate</w:t>
            </w:r>
          </w:p>
        </w:tc>
        <w:tc>
          <w:tcPr>
            <w:tcW w:type="dxa" w:w="3672"/>
            <w:vAlign w:val="center"/>
            <w:tcMar>
              <w:top w:w="45" w:type="dxa"/>
              <w:start w:w="80" w:type="dxa"/>
              <w:bottom w:w="45" w:type="dxa"/>
              <w:end w:w="80" w:type="dxa"/>
            </w:tcMar>
            <w:shd w:fill="FFFFFF"/>
          </w:tcPr>
          <w:p>
            <w:pPr>
              <w:spacing w:after="0" w:before="0"/>
            </w:pPr>
            <w:r/>
            <w:r>
              <w:rPr>
                <w:rFonts w:ascii="Arial" w:hAnsi="Arial"/>
                <w:b w:val="0"/>
                <w:color w:val="16324F"/>
                <w:sz w:val="15"/>
              </w:rPr>
              <w:t>Missing cells / expected cells × 100.</w:t>
            </w:r>
          </w:p>
        </w:tc>
        <w:tc>
          <w:tcPr>
            <w:tcW w:type="dxa" w:w="3744"/>
            <w:vAlign w:val="center"/>
            <w:tcMar>
              <w:top w:w="45" w:type="dxa"/>
              <w:start w:w="80" w:type="dxa"/>
              <w:bottom w:w="45" w:type="dxa"/>
              <w:end w:w="80" w:type="dxa"/>
            </w:tcMar>
            <w:shd w:fill="FFFFFF"/>
          </w:tcPr>
          <w:p>
            <w:pPr>
              <w:spacing w:after="0" w:before="0"/>
            </w:pPr>
            <w:r/>
            <w:r>
              <w:rPr>
                <w:rFonts w:ascii="Arial" w:hAnsi="Arial"/>
                <w:b w:val="0"/>
                <w:color w:val="16324F"/>
                <w:sz w:val="15"/>
              </w:rPr>
              <w:t>Calculate by variable, crop/market and period.</w:t>
            </w:r>
          </w:p>
        </w:tc>
      </w:tr>
      <w:tr>
        <w:tc>
          <w:tcPr>
            <w:tcW w:type="dxa" w:w="1728"/>
            <w:vAlign w:val="center"/>
            <w:tcMar>
              <w:top w:w="45" w:type="dxa"/>
              <w:start w:w="80" w:type="dxa"/>
              <w:bottom w:w="45" w:type="dxa"/>
              <w:end w:w="80" w:type="dxa"/>
            </w:tcMar>
            <w:shd w:fill="F5F8FA"/>
          </w:tcPr>
          <w:p>
            <w:pPr>
              <w:spacing w:after="0" w:before="0"/>
            </w:pPr>
            <w:r/>
            <w:r>
              <w:rPr>
                <w:rFonts w:ascii="Arial" w:hAnsi="Arial"/>
                <w:b w:val="0"/>
                <w:color w:val="16324F"/>
                <w:sz w:val="15"/>
              </w:rPr>
              <w:t>Forecast absolute error</w:t>
            </w:r>
          </w:p>
        </w:tc>
        <w:tc>
          <w:tcPr>
            <w:tcW w:type="dxa" w:w="3672"/>
            <w:vAlign w:val="center"/>
            <w:tcMar>
              <w:top w:w="45" w:type="dxa"/>
              <w:start w:w="80" w:type="dxa"/>
              <w:bottom w:w="45" w:type="dxa"/>
              <w:end w:w="80" w:type="dxa"/>
            </w:tcMar>
            <w:shd w:fill="F5F8FA"/>
          </w:tcPr>
          <w:p>
            <w:pPr>
              <w:spacing w:after="0" w:before="0"/>
            </w:pPr>
            <w:r/>
            <w:r>
              <w:rPr>
                <w:rFonts w:ascii="Arial" w:hAnsi="Arial"/>
                <w:b w:val="0"/>
                <w:color w:val="16324F"/>
                <w:sz w:val="15"/>
              </w:rPr>
              <w:t>|observed − forecast|.</w:t>
            </w:r>
          </w:p>
        </w:tc>
        <w:tc>
          <w:tcPr>
            <w:tcW w:type="dxa" w:w="3744"/>
            <w:vAlign w:val="center"/>
            <w:tcMar>
              <w:top w:w="45" w:type="dxa"/>
              <w:start w:w="80" w:type="dxa"/>
              <w:bottom w:w="45" w:type="dxa"/>
              <w:end w:w="80" w:type="dxa"/>
            </w:tcMar>
            <w:shd w:fill="F5F8FA"/>
          </w:tcPr>
          <w:p>
            <w:pPr>
              <w:spacing w:after="0" w:before="0"/>
            </w:pPr>
            <w:r/>
            <w:r>
              <w:rPr>
                <w:rFonts w:ascii="Arial" w:hAnsi="Arial"/>
                <w:b w:val="0"/>
                <w:color w:val="16324F"/>
                <w:sz w:val="15"/>
              </w:rPr>
              <w:t>Keep time order; never train on future data.</w:t>
            </w:r>
          </w:p>
        </w:tc>
      </w:tr>
      <w:tr>
        <w:tc>
          <w:tcPr>
            <w:tcW w:type="dxa" w:w="1728"/>
            <w:vAlign w:val="center"/>
            <w:tcMar>
              <w:top w:w="45" w:type="dxa"/>
              <w:start w:w="80" w:type="dxa"/>
              <w:bottom w:w="45" w:type="dxa"/>
              <w:end w:w="80" w:type="dxa"/>
            </w:tcMar>
            <w:shd w:fill="FFFFFF"/>
          </w:tcPr>
          <w:p>
            <w:pPr>
              <w:spacing w:after="0" w:before="0"/>
            </w:pPr>
            <w:r/>
            <w:r>
              <w:rPr>
                <w:rFonts w:ascii="Arial" w:hAnsi="Arial"/>
                <w:b w:val="0"/>
                <w:color w:val="16324F"/>
                <w:sz w:val="15"/>
              </w:rPr>
              <w:t>MAE</w:t>
            </w:r>
          </w:p>
        </w:tc>
        <w:tc>
          <w:tcPr>
            <w:tcW w:type="dxa" w:w="3672"/>
            <w:vAlign w:val="center"/>
            <w:tcMar>
              <w:top w:w="45" w:type="dxa"/>
              <w:start w:w="80" w:type="dxa"/>
              <w:bottom w:w="45" w:type="dxa"/>
              <w:end w:w="80" w:type="dxa"/>
            </w:tcMar>
            <w:shd w:fill="FFFFFF"/>
          </w:tcPr>
          <w:p>
            <w:pPr>
              <w:spacing w:after="0" w:before="0"/>
            </w:pPr>
            <w:r/>
            <w:r>
              <w:rPr>
                <w:rFonts w:ascii="Arial" w:hAnsi="Arial"/>
                <w:b w:val="0"/>
                <w:color w:val="16324F"/>
                <w:sz w:val="15"/>
              </w:rPr>
              <w:t>Mean(|observed − forecast|).</w:t>
            </w:r>
          </w:p>
        </w:tc>
        <w:tc>
          <w:tcPr>
            <w:tcW w:type="dxa" w:w="3744"/>
            <w:vAlign w:val="center"/>
            <w:tcMar>
              <w:top w:w="45" w:type="dxa"/>
              <w:start w:w="80" w:type="dxa"/>
              <w:bottom w:w="45" w:type="dxa"/>
              <w:end w:w="80" w:type="dxa"/>
            </w:tcMar>
            <w:shd w:fill="FFFFFF"/>
          </w:tcPr>
          <w:p>
            <w:pPr>
              <w:spacing w:after="0" w:before="0"/>
            </w:pPr>
            <w:r/>
            <w:r>
              <w:rPr>
                <w:rFonts w:ascii="Arial" w:hAnsi="Arial"/>
                <w:b w:val="0"/>
                <w:color w:val="16324F"/>
                <w:sz w:val="15"/>
              </w:rPr>
              <w:t>Same unit as the target variable.</w:t>
            </w:r>
          </w:p>
        </w:tc>
      </w:tr>
      <w:tr>
        <w:tc>
          <w:tcPr>
            <w:tcW w:type="dxa" w:w="1728"/>
            <w:vAlign w:val="center"/>
            <w:tcMar>
              <w:top w:w="45" w:type="dxa"/>
              <w:start w:w="80" w:type="dxa"/>
              <w:bottom w:w="45" w:type="dxa"/>
              <w:end w:w="80" w:type="dxa"/>
            </w:tcMar>
            <w:shd w:fill="F5F8FA"/>
          </w:tcPr>
          <w:p>
            <w:pPr>
              <w:spacing w:after="0" w:before="0"/>
            </w:pPr>
            <w:r/>
            <w:r>
              <w:rPr>
                <w:rFonts w:ascii="Arial" w:hAnsi="Arial"/>
                <w:b w:val="0"/>
                <w:color w:val="16324F"/>
                <w:sz w:val="15"/>
              </w:rPr>
              <w:t>RMSE</w:t>
            </w:r>
          </w:p>
        </w:tc>
        <w:tc>
          <w:tcPr>
            <w:tcW w:type="dxa" w:w="3672"/>
            <w:vAlign w:val="center"/>
            <w:tcMar>
              <w:top w:w="45" w:type="dxa"/>
              <w:start w:w="80" w:type="dxa"/>
              <w:bottom w:w="45" w:type="dxa"/>
              <w:end w:w="80" w:type="dxa"/>
            </w:tcMar>
            <w:shd w:fill="F5F8FA"/>
          </w:tcPr>
          <w:p>
            <w:pPr>
              <w:spacing w:after="0" w:before="0"/>
            </w:pPr>
            <w:r/>
            <w:r>
              <w:rPr>
                <w:rFonts w:ascii="Arial" w:hAnsi="Arial"/>
                <w:b w:val="0"/>
                <w:color w:val="16324F"/>
                <w:sz w:val="15"/>
              </w:rPr>
              <w:t>Square root of mean squared error.</w:t>
            </w:r>
          </w:p>
        </w:tc>
        <w:tc>
          <w:tcPr>
            <w:tcW w:type="dxa" w:w="3744"/>
            <w:vAlign w:val="center"/>
            <w:tcMar>
              <w:top w:w="45" w:type="dxa"/>
              <w:start w:w="80" w:type="dxa"/>
              <w:bottom w:w="45" w:type="dxa"/>
              <w:end w:w="80" w:type="dxa"/>
            </w:tcMar>
            <w:shd w:fill="F5F8FA"/>
          </w:tcPr>
          <w:p>
            <w:pPr>
              <w:spacing w:after="0" w:before="0"/>
            </w:pPr>
            <w:r/>
            <w:r>
              <w:rPr>
                <w:rFonts w:ascii="Arial" w:hAnsi="Arial"/>
                <w:b w:val="0"/>
                <w:color w:val="16324F"/>
                <w:sz w:val="15"/>
              </w:rPr>
              <w:t>More sensitive to large errors than MAE.</w:t>
            </w:r>
          </w:p>
        </w:tc>
      </w:tr>
      <w:tr>
        <w:tc>
          <w:tcPr>
            <w:tcW w:type="dxa" w:w="1728"/>
            <w:vAlign w:val="center"/>
            <w:tcMar>
              <w:top w:w="45" w:type="dxa"/>
              <w:start w:w="80" w:type="dxa"/>
              <w:bottom w:w="45" w:type="dxa"/>
              <w:end w:w="80" w:type="dxa"/>
            </w:tcMar>
            <w:shd w:fill="FFFFFF"/>
          </w:tcPr>
          <w:p>
            <w:pPr>
              <w:spacing w:after="0" w:before="0"/>
            </w:pPr>
            <w:r/>
            <w:r>
              <w:rPr>
                <w:rFonts w:ascii="Arial" w:hAnsi="Arial"/>
                <w:b w:val="0"/>
                <w:color w:val="16324F"/>
                <w:sz w:val="15"/>
              </w:rPr>
              <w:t>MAPE (conditional)</w:t>
            </w:r>
          </w:p>
        </w:tc>
        <w:tc>
          <w:tcPr>
            <w:tcW w:type="dxa" w:w="3672"/>
            <w:vAlign w:val="center"/>
            <w:tcMar>
              <w:top w:w="45" w:type="dxa"/>
              <w:start w:w="80" w:type="dxa"/>
              <w:bottom w:w="45" w:type="dxa"/>
              <w:end w:w="80" w:type="dxa"/>
            </w:tcMar>
            <w:shd w:fill="FFFFFF"/>
          </w:tcPr>
          <w:p>
            <w:pPr>
              <w:spacing w:after="0" w:before="0"/>
            </w:pPr>
            <w:r/>
            <w:r>
              <w:rPr>
                <w:rFonts w:ascii="Arial" w:hAnsi="Arial"/>
                <w:b w:val="0"/>
                <w:color w:val="16324F"/>
                <w:sz w:val="15"/>
              </w:rPr>
              <w:t>Mean(|observed − forecast| / |observed|) × 100.</w:t>
            </w:r>
          </w:p>
        </w:tc>
        <w:tc>
          <w:tcPr>
            <w:tcW w:type="dxa" w:w="3744"/>
            <w:vAlign w:val="center"/>
            <w:tcMar>
              <w:top w:w="45" w:type="dxa"/>
              <w:start w:w="80" w:type="dxa"/>
              <w:bottom w:w="45" w:type="dxa"/>
              <w:end w:w="80" w:type="dxa"/>
            </w:tcMar>
            <w:shd w:fill="FFFFFF"/>
          </w:tcPr>
          <w:p>
            <w:pPr>
              <w:spacing w:after="0" w:before="0"/>
            </w:pPr>
            <w:r/>
            <w:r>
              <w:rPr>
                <w:rFonts w:ascii="Arial" w:hAnsi="Arial"/>
                <w:b w:val="0"/>
                <w:color w:val="16324F"/>
                <w:sz w:val="15"/>
              </w:rPr>
              <w:t>Use only where actual values are non-zero and meaningful.</w:t>
            </w:r>
          </w:p>
        </w:tc>
      </w:tr>
    </w:tbl>
    <w:p>
      <w:pPr>
        <w:spacing w:after="0"/>
      </w:pPr>
    </w:p>
    <w:p>
      <w:pPr>
        <w:pStyle w:val="Heading1"/>
        <w:keepNext/>
        <w:pageBreakBefore/>
        <w:spacing w:before="180" w:after="100"/>
      </w:pPr>
      <w:r>
        <w:t>4. Step-by-Step Data Collection, Cleaning and Interpretation</w:t>
      </w:r>
    </w:p>
    <w:p>
      <w:r>
        <w:t>The workflow is designed to be repeatable. Each step produces a small, reviewable deliverable so that data issues are found early rather than after modelling.</w:t>
      </w:r>
    </w:p>
    <w:p>
      <w:r>
        <w:drawing>
          <wp:inline xmlns:a="http://schemas.openxmlformats.org/drawingml/2006/main" xmlns:pic="http://schemas.openxmlformats.org/drawingml/2006/picture">
            <wp:extent cx="6126480" cy="130860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6480" cy="1308600"/>
                    </a:xfrm>
                    <a:prstGeom prst="rect"/>
                  </pic:spPr>
                </pic:pic>
              </a:graphicData>
            </a:graphic>
          </wp:inline>
        </w:drawing>
      </w:r>
    </w:p>
    <w:p>
      <w:pPr>
        <w:spacing w:after="80"/>
        <w:jc w:val="center"/>
      </w:pPr>
      <w:r>
        <w:rPr>
          <w:i/>
          <w:color w:val="557080"/>
          <w:sz w:val="16"/>
        </w:rPr>
        <w:t>Figure 1. Proposed end-to-end analysis workflow.</w:t>
      </w:r>
    </w:p>
    <w:p>
      <w:pPr>
        <w:pStyle w:val="Heading2"/>
        <w:keepNext/>
        <w:spacing w:before="120" w:after="60"/>
      </w:pPr>
      <w:r>
        <w:t>Step 1 — Define and record scope</w:t>
      </w:r>
    </w:p>
    <w:p>
      <w:pPr>
        <w:pStyle w:val="ListBullet"/>
        <w:keepLines/>
        <w:spacing w:after="60"/>
      </w:pPr>
      <w:r>
        <w:t>Record research questions, crops, markets, years, frequency, target variables and exclusions; separate annual yield/production targets from weekly or monthly price targets.</w:t>
      </w:r>
    </w:p>
    <w:p>
      <w:pPr>
        <w:pStyle w:val="Heading2"/>
        <w:keepNext/>
        <w:spacing w:before="120" w:after="60"/>
      </w:pPr>
      <w:r>
        <w:t>Step 2 — Acquire and preserve raw data</w:t>
      </w:r>
    </w:p>
    <w:p>
      <w:pPr>
        <w:pStyle w:val="ListBullet"/>
        <w:keepLines/>
        <w:spacing w:after="60"/>
      </w:pPr>
      <w:r>
        <w:t>Download source files into /data/raw and create /data/processed, /outputs and /references folders. Record the URL, retrieval date, filters, version and units in a source register; never edit raw files.</w:t>
      </w:r>
    </w:p>
    <w:p>
      <w:pPr>
        <w:pStyle w:val="Heading2"/>
        <w:keepNext/>
        <w:spacing w:before="120" w:after="60"/>
      </w:pPr>
      <w:r>
        <w:t>Step 3 — Profile the raw data</w:t>
      </w:r>
    </w:p>
    <w:p>
      <w:pPr>
        <w:pStyle w:val="ListBullet"/>
        <w:keepLines/>
        <w:spacing w:after="60"/>
      </w:pPr>
      <w:r>
        <w:t>Inspect row/column counts, types, date coverage, unique crop/market labels, units, duplicates and missingness; compare observed with expected market-days while accounting for closures and non-reporting.</w:t>
      </w:r>
    </w:p>
    <w:p>
      <w:pPr>
        <w:pStyle w:val="Heading2"/>
        <w:keepNext/>
        <w:spacing w:before="120" w:after="60"/>
      </w:pPr>
      <w:r>
        <w:t>Step 4 — Clean and standardise</w:t>
      </w:r>
    </w:p>
    <w:p>
      <w:pPr>
        <w:pStyle w:val="ListBullet"/>
        <w:keepLines/>
        <w:spacing w:after="60"/>
      </w:pPr>
      <w:r>
        <w:t>Parse dates and standardise crop, variety and market labels through a documented mapping table. Define a valid record key (e.g., commodity × variety × market × date) before removing duplicates.</w:t>
      </w:r>
    </w:p>
    <w:p>
      <w:pPr>
        <w:pStyle w:val="ListBullet"/>
        <w:keepLines/>
        <w:spacing w:after="60"/>
      </w:pPr>
      <w:r>
        <w:t>Keep blank, unavailable, not applicable and genuine zero distinct. Convert units only with documented factors; flag unusual prices/yields for source review and log every correction. Never impute an absent value without justification.</w:t>
      </w:r>
    </w:p>
    <w:p>
      <w:pPr>
        <w:pStyle w:val="Heading2"/>
        <w:keepNext/>
        <w:spacing w:before="120" w:after="60"/>
      </w:pPr>
      <w:r>
        <w:t>Step 5 — Integrate sources carefully</w:t>
      </w:r>
    </w:p>
    <w:p>
      <w:pPr>
        <w:pStyle w:val="ListBullet"/>
        <w:keepLines/>
        <w:spacing w:after="60"/>
      </w:pPr>
      <w:r>
        <w:t>Join using validated identifiers and compatible geography/time. Aggregate price records to weekly/monthly summaries and align rainfall and crop years without silently mixing calendar and agricultural years.</w:t>
      </w:r>
    </w:p>
    <w:p>
      <w:pPr>
        <w:pStyle w:val="Heading2"/>
        <w:keepNext/>
        <w:spacing w:before="120" w:after="60"/>
      </w:pPr>
      <w:r>
        <w:t>Step 6 — Explore and interpret</w:t>
      </w:r>
    </w:p>
    <w:p>
      <w:pPr>
        <w:pStyle w:val="ListBullet"/>
        <w:keepLines/>
        <w:spacing w:after="60"/>
      </w:pPr>
      <w:r>
        <w:t>Create descriptive tables, crop-trend lines, monthly price plots, distributions and missingness charts; label each with unit, period and source.</w:t>
      </w:r>
    </w:p>
    <w:p>
      <w:pPr>
        <w:pStyle w:val="ListBullet"/>
        <w:keepLines/>
        <w:spacing w:after="60"/>
      </w:pPr>
      <w:r>
        <w:t>Compare area, production and yield separately. Explore price-arrival-rainfall associations with sample sizes and confounders; do not interpret correlation as causation.</w:t>
      </w:r>
    </w:p>
    <w:p>
      <w:pPr>
        <w:pStyle w:val="Heading2"/>
        <w:keepNext/>
        <w:spacing w:before="120" w:after="60"/>
      </w:pPr>
      <w:r>
        <w:t>Step 7 — Forecast, validate and communicate</w:t>
      </w:r>
    </w:p>
    <w:p>
      <w:pPr>
        <w:pStyle w:val="ListBullet"/>
        <w:keepLines/>
        <w:spacing w:after="60"/>
      </w:pPr>
      <w:r>
        <w:t>Compare naïve, seasonal-naïve (if relevant), moving-average and linear-trend baselines using chronological or rolling-origin validation; calculate MAE/RMSE and use MAPE only when appropriate.</w:t>
      </w:r>
    </w:p>
    <w:p>
      <w:pPr>
        <w:pStyle w:val="ListBullet"/>
        <w:keepLines/>
        <w:spacing w:after="60"/>
      </w:pPr>
      <w:r>
        <w:t>Document limitations, maintain the data dictionary, save code and produce a one-page findings summary.</w:t>
      </w:r>
    </w:p>
    <w:p>
      <w:pPr>
        <w:pStyle w:val="Heading1"/>
        <w:keepNext/>
        <w:pageBreakBefore/>
        <w:spacing w:before="180" w:after="100"/>
      </w:pPr>
      <w:r>
        <w:t>5. Analytical Design and Worked Example</w:t>
      </w:r>
    </w:p>
    <w:p>
      <w:pPr>
        <w:pStyle w:val="Heading2"/>
        <w:keepNext/>
        <w:spacing w:before="120" w:after="60"/>
      </w:pPr>
      <w:r>
        <w:t>5.1 Descriptive analysis using the supplied crop table</w:t>
      </w:r>
    </w:p>
    <w:p>
      <w:r>
        <w:t>The Department of Agriculture &amp; Farmers Welfare crop-wise table supplied for this project reports India-level area, production and yield for 2021–22 through 2025–26. The table states that 2025–26 figures are third advance estimates. This example uses the maize “Total” row; values are not a state-level breakdown.</w:t>
      </w:r>
    </w:p>
    <w:p>
      <w:r>
        <w:drawing>
          <wp:inline xmlns:a="http://schemas.openxmlformats.org/drawingml/2006/main" xmlns:pic="http://schemas.openxmlformats.org/drawingml/2006/picture">
            <wp:extent cx="6080760" cy="1924351"/>
            <wp:docPr id="2" name="Picture 2"/>
            <wp:cNvGraphicFramePr>
              <a:graphicFrameLocks noChangeAspect="1"/>
            </wp:cNvGraphicFramePr>
            <a:graphic>
              <a:graphicData uri="http://schemas.openxmlformats.org/drawingml/2006/picture">
                <pic:pic>
                  <pic:nvPicPr>
                    <pic:cNvPr id="0" name="maize_statistics.png"/>
                    <pic:cNvPicPr/>
                  </pic:nvPicPr>
                  <pic:blipFill>
                    <a:blip r:embed="rId12"/>
                    <a:stretch>
                      <a:fillRect/>
                    </a:stretch>
                  </pic:blipFill>
                  <pic:spPr>
                    <a:xfrm>
                      <a:off x="0" y="0"/>
                      <a:ext cx="6080760" cy="1924351"/>
                    </a:xfrm>
                    <a:prstGeom prst="rect"/>
                  </pic:spPr>
                </pic:pic>
              </a:graphicData>
            </a:graphic>
          </wp:inline>
        </w:drawing>
      </w:r>
    </w:p>
    <w:p>
      <w:pPr>
        <w:spacing w:after="80"/>
        <w:jc w:val="center"/>
      </w:pPr>
      <w:r>
        <w:rPr>
          <w:i/>
          <w:color w:val="557080"/>
          <w:sz w:val="16"/>
        </w:rPr>
        <w:t>Figure 2. Maize area, production and yield over the five reported crop years. *2025–26 is a third advance estimate.</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2520"/>
            <w:shd w:fill="16324F"/>
            <w:vAlign w:val="center"/>
            <w:tcMar>
              <w:top w:w="90" w:type="dxa"/>
              <w:start w:w="100" w:type="dxa"/>
              <w:bottom w:w="90" w:type="dxa"/>
              <w:end w:w="100" w:type="dxa"/>
            </w:tcMar>
          </w:tcPr>
          <w:p>
            <w:pPr>
              <w:spacing w:after="0" w:before="0"/>
            </w:pPr>
            <w:r/>
            <w:r>
              <w:rPr>
                <w:rFonts w:ascii="Arial" w:hAnsi="Arial"/>
                <w:b/>
                <w:color w:val="FFFFFF"/>
                <w:sz w:val="16"/>
              </w:rPr>
              <w:t>Indicator</w:t>
            </w:r>
          </w:p>
        </w:tc>
        <w:tc>
          <w:tcPr>
            <w:tcW w:type="dxa" w:w="1440"/>
            <w:shd w:fill="16324F"/>
            <w:vAlign w:val="center"/>
            <w:tcMar>
              <w:top w:w="90" w:type="dxa"/>
              <w:start w:w="100" w:type="dxa"/>
              <w:bottom w:w="90" w:type="dxa"/>
              <w:end w:w="100" w:type="dxa"/>
            </w:tcMar>
          </w:tcPr>
          <w:p>
            <w:pPr>
              <w:spacing w:after="0" w:before="0"/>
            </w:pPr>
            <w:r/>
            <w:r>
              <w:rPr>
                <w:rFonts w:ascii="Arial" w:hAnsi="Arial"/>
                <w:b/>
                <w:color w:val="FFFFFF"/>
                <w:sz w:val="16"/>
              </w:rPr>
              <w:t>2021–22</w:t>
            </w:r>
          </w:p>
        </w:tc>
        <w:tc>
          <w:tcPr>
            <w:tcW w:type="dxa" w:w="1440"/>
            <w:shd w:fill="16324F"/>
            <w:vAlign w:val="center"/>
            <w:tcMar>
              <w:top w:w="90" w:type="dxa"/>
              <w:start w:w="100" w:type="dxa"/>
              <w:bottom w:w="90" w:type="dxa"/>
              <w:end w:w="100" w:type="dxa"/>
            </w:tcMar>
          </w:tcPr>
          <w:p>
            <w:pPr>
              <w:spacing w:after="0" w:before="0"/>
            </w:pPr>
            <w:r/>
            <w:r>
              <w:rPr>
                <w:rFonts w:ascii="Arial" w:hAnsi="Arial"/>
                <w:b/>
                <w:color w:val="FFFFFF"/>
                <w:sz w:val="16"/>
              </w:rPr>
              <w:t>2024–25</w:t>
            </w:r>
          </w:p>
        </w:tc>
        <w:tc>
          <w:tcPr>
            <w:tcW w:type="dxa" w:w="1512"/>
            <w:shd w:fill="16324F"/>
            <w:vAlign w:val="center"/>
            <w:tcMar>
              <w:top w:w="90" w:type="dxa"/>
              <w:start w:w="100" w:type="dxa"/>
              <w:bottom w:w="90" w:type="dxa"/>
              <w:end w:w="100" w:type="dxa"/>
            </w:tcMar>
          </w:tcPr>
          <w:p>
            <w:pPr>
              <w:spacing w:after="0" w:before="0"/>
            </w:pPr>
            <w:r/>
            <w:r>
              <w:rPr>
                <w:rFonts w:ascii="Arial" w:hAnsi="Arial"/>
                <w:b/>
                <w:color w:val="FFFFFF"/>
                <w:sz w:val="16"/>
              </w:rPr>
              <w:t>2025–26*</w:t>
            </w:r>
          </w:p>
        </w:tc>
        <w:tc>
          <w:tcPr>
            <w:tcW w:type="dxa" w:w="2448"/>
            <w:shd w:fill="16324F"/>
            <w:vAlign w:val="center"/>
            <w:tcMar>
              <w:top w:w="90" w:type="dxa"/>
              <w:start w:w="100" w:type="dxa"/>
              <w:bottom w:w="90" w:type="dxa"/>
              <w:end w:w="100" w:type="dxa"/>
            </w:tcMar>
          </w:tcPr>
          <w:p>
            <w:pPr>
              <w:spacing w:after="0" w:before="0"/>
            </w:pPr>
            <w:r/>
            <w:r>
              <w:rPr>
                <w:rFonts w:ascii="Arial" w:hAnsi="Arial"/>
                <w:b/>
                <w:color w:val="FFFFFF"/>
                <w:sz w:val="16"/>
              </w:rPr>
              <w:t>Change 2021–22 to 2025–26*</w:t>
            </w:r>
          </w:p>
        </w:tc>
      </w:tr>
      <w:tr>
        <w:tc>
          <w:tcPr>
            <w:tcW w:type="dxa" w:w="2520"/>
            <w:vAlign w:val="center"/>
            <w:tcMar>
              <w:top w:w="90" w:type="dxa"/>
              <w:start w:w="100" w:type="dxa"/>
              <w:bottom w:w="90" w:type="dxa"/>
              <w:end w:w="100" w:type="dxa"/>
            </w:tcMar>
            <w:shd w:fill="FFFFFF"/>
          </w:tcPr>
          <w:p>
            <w:pPr>
              <w:spacing w:after="0" w:before="0"/>
            </w:pPr>
            <w:r/>
            <w:r>
              <w:rPr>
                <w:rFonts w:ascii="Arial" w:hAnsi="Arial"/>
                <w:b w:val="0"/>
                <w:color w:val="16324F"/>
                <w:sz w:val="16"/>
              </w:rPr>
              <w:t>Area (lakh ha)</w:t>
            </w:r>
          </w:p>
        </w:tc>
        <w:tc>
          <w:tcPr>
            <w:tcW w:type="dxa" w:w="1440"/>
            <w:vAlign w:val="center"/>
            <w:tcMar>
              <w:top w:w="90" w:type="dxa"/>
              <w:start w:w="100" w:type="dxa"/>
              <w:bottom w:w="90" w:type="dxa"/>
              <w:end w:w="100" w:type="dxa"/>
            </w:tcMar>
            <w:shd w:fill="FFFFFF"/>
          </w:tcPr>
          <w:p>
            <w:pPr>
              <w:spacing w:after="0" w:before="0"/>
            </w:pPr>
            <w:r/>
            <w:r>
              <w:rPr>
                <w:rFonts w:ascii="Arial" w:hAnsi="Arial"/>
                <w:b w:val="0"/>
                <w:color w:val="16324F"/>
                <w:sz w:val="16"/>
              </w:rPr>
              <w:t>99.58</w:t>
            </w:r>
          </w:p>
        </w:tc>
        <w:tc>
          <w:tcPr>
            <w:tcW w:type="dxa" w:w="1440"/>
            <w:vAlign w:val="center"/>
            <w:tcMar>
              <w:top w:w="90" w:type="dxa"/>
              <w:start w:w="100" w:type="dxa"/>
              <w:bottom w:w="90" w:type="dxa"/>
              <w:end w:w="100" w:type="dxa"/>
            </w:tcMar>
            <w:shd w:fill="FFFFFF"/>
          </w:tcPr>
          <w:p>
            <w:pPr>
              <w:spacing w:after="0" w:before="0"/>
            </w:pPr>
            <w:r/>
            <w:r>
              <w:rPr>
                <w:rFonts w:ascii="Arial" w:hAnsi="Arial"/>
                <w:b w:val="0"/>
                <w:color w:val="16324F"/>
                <w:sz w:val="16"/>
              </w:rPr>
              <w:t>120.91</w:t>
            </w:r>
          </w:p>
        </w:tc>
        <w:tc>
          <w:tcPr>
            <w:tcW w:type="dxa" w:w="1512"/>
            <w:vAlign w:val="center"/>
            <w:tcMar>
              <w:top w:w="90" w:type="dxa"/>
              <w:start w:w="100" w:type="dxa"/>
              <w:bottom w:w="90" w:type="dxa"/>
              <w:end w:w="100" w:type="dxa"/>
            </w:tcMar>
            <w:shd w:fill="FFFFFF"/>
          </w:tcPr>
          <w:p>
            <w:pPr>
              <w:spacing w:after="0" w:before="0"/>
            </w:pPr>
            <w:r/>
            <w:r>
              <w:rPr>
                <w:rFonts w:ascii="Arial" w:hAnsi="Arial"/>
                <w:b w:val="0"/>
                <w:color w:val="16324F"/>
                <w:sz w:val="16"/>
              </w:rPr>
              <w:t>144.08</w:t>
            </w:r>
          </w:p>
        </w:tc>
        <w:tc>
          <w:tcPr>
            <w:tcW w:type="dxa" w:w="2448"/>
            <w:vAlign w:val="center"/>
            <w:tcMar>
              <w:top w:w="90" w:type="dxa"/>
              <w:start w:w="100" w:type="dxa"/>
              <w:bottom w:w="90" w:type="dxa"/>
              <w:end w:w="100" w:type="dxa"/>
            </w:tcMar>
            <w:shd w:fill="FFFFFF"/>
          </w:tcPr>
          <w:p>
            <w:pPr>
              <w:spacing w:after="0" w:before="0"/>
            </w:pPr>
            <w:r/>
            <w:r>
              <w:rPr>
                <w:rFonts w:ascii="Arial" w:hAnsi="Arial"/>
                <w:b w:val="0"/>
                <w:color w:val="16324F"/>
                <w:sz w:val="16"/>
              </w:rPr>
              <w:t>+44.7%</w:t>
            </w:r>
          </w:p>
        </w:tc>
      </w:tr>
      <w:tr>
        <w:tc>
          <w:tcPr>
            <w:tcW w:type="dxa" w:w="2520"/>
            <w:vAlign w:val="center"/>
            <w:tcMar>
              <w:top w:w="90" w:type="dxa"/>
              <w:start w:w="100" w:type="dxa"/>
              <w:bottom w:w="90" w:type="dxa"/>
              <w:end w:w="100" w:type="dxa"/>
            </w:tcMar>
            <w:shd w:fill="F5F8FA"/>
          </w:tcPr>
          <w:p>
            <w:pPr>
              <w:spacing w:after="0" w:before="0"/>
            </w:pPr>
            <w:r/>
            <w:r>
              <w:rPr>
                <w:rFonts w:ascii="Arial" w:hAnsi="Arial"/>
                <w:b w:val="0"/>
                <w:color w:val="16324F"/>
                <w:sz w:val="16"/>
              </w:rPr>
              <w:t>Production (lakh tonnes)</w:t>
            </w:r>
          </w:p>
        </w:tc>
        <w:tc>
          <w:tcPr>
            <w:tcW w:type="dxa" w:w="1440"/>
            <w:vAlign w:val="center"/>
            <w:tcMar>
              <w:top w:w="90" w:type="dxa"/>
              <w:start w:w="100" w:type="dxa"/>
              <w:bottom w:w="90" w:type="dxa"/>
              <w:end w:w="100" w:type="dxa"/>
            </w:tcMar>
            <w:shd w:fill="F5F8FA"/>
          </w:tcPr>
          <w:p>
            <w:pPr>
              <w:spacing w:after="0" w:before="0"/>
            </w:pPr>
            <w:r/>
            <w:r>
              <w:rPr>
                <w:rFonts w:ascii="Arial" w:hAnsi="Arial"/>
                <w:b w:val="0"/>
                <w:color w:val="16324F"/>
                <w:sz w:val="16"/>
              </w:rPr>
              <w:t>337.30</w:t>
            </w:r>
          </w:p>
        </w:tc>
        <w:tc>
          <w:tcPr>
            <w:tcW w:type="dxa" w:w="1440"/>
            <w:vAlign w:val="center"/>
            <w:tcMar>
              <w:top w:w="90" w:type="dxa"/>
              <w:start w:w="100" w:type="dxa"/>
              <w:bottom w:w="90" w:type="dxa"/>
              <w:end w:w="100" w:type="dxa"/>
            </w:tcMar>
            <w:shd w:fill="F5F8FA"/>
          </w:tcPr>
          <w:p>
            <w:pPr>
              <w:spacing w:after="0" w:before="0"/>
            </w:pPr>
            <w:r/>
            <w:r>
              <w:rPr>
                <w:rFonts w:ascii="Arial" w:hAnsi="Arial"/>
                <w:b w:val="0"/>
                <w:color w:val="16324F"/>
                <w:sz w:val="16"/>
              </w:rPr>
              <w:t>434.09</w:t>
            </w:r>
          </w:p>
        </w:tc>
        <w:tc>
          <w:tcPr>
            <w:tcW w:type="dxa" w:w="1512"/>
            <w:vAlign w:val="center"/>
            <w:tcMar>
              <w:top w:w="90" w:type="dxa"/>
              <w:start w:w="100" w:type="dxa"/>
              <w:bottom w:w="90" w:type="dxa"/>
              <w:end w:w="100" w:type="dxa"/>
            </w:tcMar>
            <w:shd w:fill="F5F8FA"/>
          </w:tcPr>
          <w:p>
            <w:pPr>
              <w:spacing w:after="0" w:before="0"/>
            </w:pPr>
            <w:r/>
            <w:r>
              <w:rPr>
                <w:rFonts w:ascii="Arial" w:hAnsi="Arial"/>
                <w:b w:val="0"/>
                <w:color w:val="16324F"/>
                <w:sz w:val="16"/>
              </w:rPr>
              <w:t>550.93</w:t>
            </w:r>
          </w:p>
        </w:tc>
        <w:tc>
          <w:tcPr>
            <w:tcW w:type="dxa" w:w="2448"/>
            <w:vAlign w:val="center"/>
            <w:tcMar>
              <w:top w:w="90" w:type="dxa"/>
              <w:start w:w="100" w:type="dxa"/>
              <w:bottom w:w="90" w:type="dxa"/>
              <w:end w:w="100" w:type="dxa"/>
            </w:tcMar>
            <w:shd w:fill="F5F8FA"/>
          </w:tcPr>
          <w:p>
            <w:pPr>
              <w:spacing w:after="0" w:before="0"/>
            </w:pPr>
            <w:r/>
            <w:r>
              <w:rPr>
                <w:rFonts w:ascii="Arial" w:hAnsi="Arial"/>
                <w:b w:val="0"/>
                <w:color w:val="16324F"/>
                <w:sz w:val="16"/>
              </w:rPr>
              <w:t>+63.3%</w:t>
            </w:r>
          </w:p>
        </w:tc>
      </w:tr>
      <w:tr>
        <w:tc>
          <w:tcPr>
            <w:tcW w:type="dxa" w:w="2520"/>
            <w:vAlign w:val="center"/>
            <w:tcMar>
              <w:top w:w="90" w:type="dxa"/>
              <w:start w:w="100" w:type="dxa"/>
              <w:bottom w:w="90" w:type="dxa"/>
              <w:end w:w="100" w:type="dxa"/>
            </w:tcMar>
            <w:shd w:fill="FFFFFF"/>
          </w:tcPr>
          <w:p>
            <w:pPr>
              <w:spacing w:after="0" w:before="0"/>
            </w:pPr>
            <w:r/>
            <w:r>
              <w:rPr>
                <w:rFonts w:ascii="Arial" w:hAnsi="Arial"/>
                <w:b w:val="0"/>
                <w:color w:val="16324F"/>
                <w:sz w:val="16"/>
              </w:rPr>
              <w:t>Yield (kg/ha)</w:t>
            </w:r>
          </w:p>
        </w:tc>
        <w:tc>
          <w:tcPr>
            <w:tcW w:type="dxa" w:w="1440"/>
            <w:vAlign w:val="center"/>
            <w:tcMar>
              <w:top w:w="90" w:type="dxa"/>
              <w:start w:w="100" w:type="dxa"/>
              <w:bottom w:w="90" w:type="dxa"/>
              <w:end w:w="100" w:type="dxa"/>
            </w:tcMar>
            <w:shd w:fill="FFFFFF"/>
          </w:tcPr>
          <w:p>
            <w:pPr>
              <w:spacing w:after="0" w:before="0"/>
            </w:pPr>
            <w:r/>
            <w:r>
              <w:rPr>
                <w:rFonts w:ascii="Arial" w:hAnsi="Arial"/>
                <w:b w:val="0"/>
                <w:color w:val="16324F"/>
                <w:sz w:val="16"/>
              </w:rPr>
              <w:t>3,387</w:t>
            </w:r>
          </w:p>
        </w:tc>
        <w:tc>
          <w:tcPr>
            <w:tcW w:type="dxa" w:w="1440"/>
            <w:vAlign w:val="center"/>
            <w:tcMar>
              <w:top w:w="90" w:type="dxa"/>
              <w:start w:w="100" w:type="dxa"/>
              <w:bottom w:w="90" w:type="dxa"/>
              <w:end w:w="100" w:type="dxa"/>
            </w:tcMar>
            <w:shd w:fill="FFFFFF"/>
          </w:tcPr>
          <w:p>
            <w:pPr>
              <w:spacing w:after="0" w:before="0"/>
            </w:pPr>
            <w:r/>
            <w:r>
              <w:rPr>
                <w:rFonts w:ascii="Arial" w:hAnsi="Arial"/>
                <w:b w:val="0"/>
                <w:color w:val="16324F"/>
                <w:sz w:val="16"/>
              </w:rPr>
              <w:t>3,590</w:t>
            </w:r>
          </w:p>
        </w:tc>
        <w:tc>
          <w:tcPr>
            <w:tcW w:type="dxa" w:w="1512"/>
            <w:vAlign w:val="center"/>
            <w:tcMar>
              <w:top w:w="90" w:type="dxa"/>
              <w:start w:w="100" w:type="dxa"/>
              <w:bottom w:w="90" w:type="dxa"/>
              <w:end w:w="100" w:type="dxa"/>
            </w:tcMar>
            <w:shd w:fill="FFFFFF"/>
          </w:tcPr>
          <w:p>
            <w:pPr>
              <w:spacing w:after="0" w:before="0"/>
            </w:pPr>
            <w:r/>
            <w:r>
              <w:rPr>
                <w:rFonts w:ascii="Arial" w:hAnsi="Arial"/>
                <w:b w:val="0"/>
                <w:color w:val="16324F"/>
                <w:sz w:val="16"/>
              </w:rPr>
              <w:t>3,824</w:t>
            </w:r>
          </w:p>
        </w:tc>
        <w:tc>
          <w:tcPr>
            <w:tcW w:type="dxa" w:w="2448"/>
            <w:vAlign w:val="center"/>
            <w:tcMar>
              <w:top w:w="90" w:type="dxa"/>
              <w:start w:w="100" w:type="dxa"/>
              <w:bottom w:w="90" w:type="dxa"/>
              <w:end w:w="100" w:type="dxa"/>
            </w:tcMar>
            <w:shd w:fill="FFFFFF"/>
          </w:tcPr>
          <w:p>
            <w:pPr>
              <w:spacing w:after="0" w:before="0"/>
            </w:pPr>
            <w:r/>
            <w:r>
              <w:rPr>
                <w:rFonts w:ascii="Arial" w:hAnsi="Arial"/>
                <w:b w:val="0"/>
                <w:color w:val="16324F"/>
                <w:sz w:val="16"/>
              </w:rPr>
              <w:t>+12.9%</w:t>
            </w:r>
          </w:p>
        </w:tc>
      </w:tr>
    </w:tbl>
    <w:p>
      <w:pPr>
        <w:spacing w:after="0"/>
      </w:pPr>
    </w:p>
    <w:tbl>
      <w:tblPr>
        <w:tblW w:type="auto" w:w="0"/>
        <w:jc w:val="center"/>
        <w:tblLook w:firstColumn="1" w:firstRow="1" w:lastColumn="0" w:lastRow="0" w:noHBand="0" w:noVBand="1" w:val="04A0"/>
      </w:tblPr>
      <w:tblGrid>
        <w:gridCol w:w="9835"/>
      </w:tblGrid>
      <w:tr>
        <w:tc>
          <w:tcPr>
            <w:tcW w:type="dxa" w:w="9835"/>
            <w:shd w:fill="E7F3EF"/>
            <w:tcMar>
              <w:top w:w="150" w:type="dxa"/>
              <w:start w:w="180" w:type="dxa"/>
              <w:bottom w:w="150" w:type="dxa"/>
              <w:end w:w="180" w:type="dxa"/>
            </w:tcMar>
          </w:tcPr>
          <w:p>
            <w:pPr>
              <w:spacing w:after="0"/>
            </w:pPr>
            <w:r/>
            <w:r>
              <w:rPr>
                <w:b/>
                <w:color w:val="1B6B5A"/>
                <w:sz w:val="18"/>
              </w:rPr>
              <w:t xml:space="preserve">Interpretation  </w:t>
            </w:r>
            <w:r>
              <w:rPr>
                <w:color w:val="16324F"/>
                <w:sz w:val="18"/>
              </w:rPr>
              <w:t>In the supplied series, maize production increased faster than cultivated area across the endpoints, while reported yield also increased. This is a descriptive comparison only; it does not establish the causes, and the latest year is provisional. Seasonal, weather, input and policy factors require separate aligned records.</w:t>
            </w:r>
          </w:p>
        </w:tc>
      </w:tr>
    </w:tbl>
    <w:p>
      <w:pPr>
        <w:spacing w:after="0"/>
      </w:pPr>
    </w:p>
    <w:p>
      <w:pPr>
        <w:pStyle w:val="Heading2"/>
        <w:keepNext/>
        <w:spacing w:before="120" w:after="60"/>
      </w:pPr>
      <w:r>
        <w:t>5.2 One-step-ahead forecast demonstration</w:t>
      </w:r>
    </w:p>
    <w:p>
      <w:r>
        <w:t>To make the forecasting plan concrete, the first four annual maize production observations (2021–22 to 2024–25) are used to forecast 2025–26. The third advance estimate of 550.93 lakh tonnes is then used as the comparison value. This is an illustration of model mechanics, not enough data to declare one method generally superior.</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3240"/>
            <w:shd w:fill="16324F"/>
            <w:vAlign w:val="center"/>
            <w:tcMar>
              <w:top w:w="90" w:type="dxa"/>
              <w:start w:w="100" w:type="dxa"/>
              <w:bottom w:w="90" w:type="dxa"/>
              <w:end w:w="100" w:type="dxa"/>
            </w:tcMar>
          </w:tcPr>
          <w:p>
            <w:pPr>
              <w:spacing w:after="0" w:before="0"/>
            </w:pPr>
            <w:r/>
            <w:r>
              <w:rPr>
                <w:rFonts w:ascii="Arial" w:hAnsi="Arial"/>
                <w:b/>
                <w:color w:val="FFFFFF"/>
                <w:sz w:val="15"/>
              </w:rPr>
              <w:t>Method</w:t>
            </w:r>
          </w:p>
        </w:tc>
        <w:tc>
          <w:tcPr>
            <w:tcW w:type="dxa" w:w="1944"/>
            <w:shd w:fill="16324F"/>
            <w:vAlign w:val="center"/>
            <w:tcMar>
              <w:top w:w="90" w:type="dxa"/>
              <w:start w:w="100" w:type="dxa"/>
              <w:bottom w:w="90" w:type="dxa"/>
              <w:end w:w="100" w:type="dxa"/>
            </w:tcMar>
          </w:tcPr>
          <w:p>
            <w:pPr>
              <w:spacing w:after="0" w:before="0"/>
            </w:pPr>
            <w:r/>
            <w:r>
              <w:rPr>
                <w:rFonts w:ascii="Arial" w:hAnsi="Arial"/>
                <w:b/>
                <w:color w:val="FFFFFF"/>
                <w:sz w:val="15"/>
              </w:rPr>
              <w:t>Forecast for 2025–26 (lakh tonnes)</w:t>
            </w:r>
          </w:p>
        </w:tc>
        <w:tc>
          <w:tcPr>
            <w:tcW w:type="dxa" w:w="1800"/>
            <w:shd w:fill="16324F"/>
            <w:vAlign w:val="center"/>
            <w:tcMar>
              <w:top w:w="90" w:type="dxa"/>
              <w:start w:w="100" w:type="dxa"/>
              <w:bottom w:w="90" w:type="dxa"/>
              <w:end w:w="100" w:type="dxa"/>
            </w:tcMar>
          </w:tcPr>
          <w:p>
            <w:pPr>
              <w:spacing w:after="0" w:before="0"/>
            </w:pPr>
            <w:r/>
            <w:r>
              <w:rPr>
                <w:rFonts w:ascii="Arial" w:hAnsi="Arial"/>
                <w:b/>
                <w:color w:val="FFFFFF"/>
                <w:sz w:val="15"/>
              </w:rPr>
              <w:t>Absolute error (lakh tonnes)</w:t>
            </w:r>
          </w:p>
        </w:tc>
        <w:tc>
          <w:tcPr>
            <w:tcW w:type="dxa" w:w="1800"/>
            <w:shd w:fill="16324F"/>
            <w:vAlign w:val="center"/>
            <w:tcMar>
              <w:top w:w="90" w:type="dxa"/>
              <w:start w:w="100" w:type="dxa"/>
              <w:bottom w:w="90" w:type="dxa"/>
              <w:end w:w="100" w:type="dxa"/>
            </w:tcMar>
          </w:tcPr>
          <w:p>
            <w:pPr>
              <w:spacing w:after="0" w:before="0"/>
            </w:pPr>
            <w:r/>
            <w:r>
              <w:rPr>
                <w:rFonts w:ascii="Arial" w:hAnsi="Arial"/>
                <w:b/>
                <w:color w:val="FFFFFF"/>
                <w:sz w:val="15"/>
              </w:rPr>
              <w:t>Absolute percentage error</w:t>
            </w:r>
          </w:p>
        </w:tc>
      </w:tr>
      <w:tr>
        <w:tc>
          <w:tcPr>
            <w:tcW w:type="dxa" w:w="3240"/>
            <w:vAlign w:val="center"/>
            <w:tcMar>
              <w:top w:w="90" w:type="dxa"/>
              <w:start w:w="100" w:type="dxa"/>
              <w:bottom w:w="90" w:type="dxa"/>
              <w:end w:w="100" w:type="dxa"/>
            </w:tcMar>
            <w:shd w:fill="FFFFFF"/>
          </w:tcPr>
          <w:p>
            <w:pPr>
              <w:spacing w:after="0" w:before="0"/>
            </w:pPr>
            <w:r/>
            <w:r>
              <w:rPr>
                <w:rFonts w:ascii="Arial" w:hAnsi="Arial"/>
                <w:b w:val="0"/>
                <w:color w:val="16324F"/>
                <w:sz w:val="15"/>
              </w:rPr>
              <w:t>Naïve baseline: last year value</w:t>
            </w:r>
          </w:p>
        </w:tc>
        <w:tc>
          <w:tcPr>
            <w:tcW w:type="dxa" w:w="1944"/>
            <w:vAlign w:val="center"/>
            <w:tcMar>
              <w:top w:w="90" w:type="dxa"/>
              <w:start w:w="100" w:type="dxa"/>
              <w:bottom w:w="90" w:type="dxa"/>
              <w:end w:w="100" w:type="dxa"/>
            </w:tcMar>
            <w:shd w:fill="FFFFFF"/>
          </w:tcPr>
          <w:p>
            <w:pPr>
              <w:spacing w:after="0" w:before="0"/>
            </w:pPr>
            <w:r/>
            <w:r>
              <w:rPr>
                <w:rFonts w:ascii="Arial" w:hAnsi="Arial"/>
                <w:b w:val="0"/>
                <w:color w:val="16324F"/>
                <w:sz w:val="15"/>
              </w:rPr>
              <w:t>434.09</w:t>
            </w:r>
          </w:p>
        </w:tc>
        <w:tc>
          <w:tcPr>
            <w:tcW w:type="dxa" w:w="1800"/>
            <w:vAlign w:val="center"/>
            <w:tcMar>
              <w:top w:w="90" w:type="dxa"/>
              <w:start w:w="100" w:type="dxa"/>
              <w:bottom w:w="90" w:type="dxa"/>
              <w:end w:w="100" w:type="dxa"/>
            </w:tcMar>
            <w:shd w:fill="FFFFFF"/>
          </w:tcPr>
          <w:p>
            <w:pPr>
              <w:spacing w:after="0" w:before="0"/>
            </w:pPr>
            <w:r/>
            <w:r>
              <w:rPr>
                <w:rFonts w:ascii="Arial" w:hAnsi="Arial"/>
                <w:b w:val="0"/>
                <w:color w:val="16324F"/>
                <w:sz w:val="15"/>
              </w:rPr>
              <w:t>116.84</w:t>
            </w:r>
          </w:p>
        </w:tc>
        <w:tc>
          <w:tcPr>
            <w:tcW w:type="dxa" w:w="1800"/>
            <w:vAlign w:val="center"/>
            <w:tcMar>
              <w:top w:w="90" w:type="dxa"/>
              <w:start w:w="100" w:type="dxa"/>
              <w:bottom w:w="90" w:type="dxa"/>
              <w:end w:w="100" w:type="dxa"/>
            </w:tcMar>
            <w:shd w:fill="FFFFFF"/>
          </w:tcPr>
          <w:p>
            <w:pPr>
              <w:spacing w:after="0" w:before="0"/>
            </w:pPr>
            <w:r/>
            <w:r>
              <w:rPr>
                <w:rFonts w:ascii="Arial" w:hAnsi="Arial"/>
                <w:b w:val="0"/>
                <w:color w:val="16324F"/>
                <w:sz w:val="15"/>
              </w:rPr>
              <w:t>21.2%</w:t>
            </w:r>
          </w:p>
        </w:tc>
      </w:tr>
      <w:tr>
        <w:tc>
          <w:tcPr>
            <w:tcW w:type="dxa" w:w="3240"/>
            <w:vAlign w:val="center"/>
            <w:tcMar>
              <w:top w:w="90" w:type="dxa"/>
              <w:start w:w="100" w:type="dxa"/>
              <w:bottom w:w="90" w:type="dxa"/>
              <w:end w:w="100" w:type="dxa"/>
            </w:tcMar>
            <w:shd w:fill="F5F8FA"/>
          </w:tcPr>
          <w:p>
            <w:pPr>
              <w:spacing w:after="0" w:before="0"/>
            </w:pPr>
            <w:r/>
            <w:r>
              <w:rPr>
                <w:rFonts w:ascii="Arial" w:hAnsi="Arial"/>
                <w:b w:val="0"/>
                <w:color w:val="16324F"/>
                <w:sz w:val="15"/>
              </w:rPr>
              <w:t>Three-year moving average: mean of 2022–23 to 2024–25</w:t>
            </w:r>
          </w:p>
        </w:tc>
        <w:tc>
          <w:tcPr>
            <w:tcW w:type="dxa" w:w="1944"/>
            <w:vAlign w:val="center"/>
            <w:tcMar>
              <w:top w:w="90" w:type="dxa"/>
              <w:start w:w="100" w:type="dxa"/>
              <w:bottom w:w="90" w:type="dxa"/>
              <w:end w:w="100" w:type="dxa"/>
            </w:tcMar>
            <w:shd w:fill="F5F8FA"/>
          </w:tcPr>
          <w:p>
            <w:pPr>
              <w:spacing w:after="0" w:before="0"/>
            </w:pPr>
            <w:r/>
            <w:r>
              <w:rPr>
                <w:rFonts w:ascii="Arial" w:hAnsi="Arial"/>
                <w:b w:val="0"/>
                <w:color w:val="16324F"/>
                <w:sz w:val="15"/>
              </w:rPr>
              <w:t>397.20</w:t>
            </w:r>
          </w:p>
        </w:tc>
        <w:tc>
          <w:tcPr>
            <w:tcW w:type="dxa" w:w="1800"/>
            <w:vAlign w:val="center"/>
            <w:tcMar>
              <w:top w:w="90" w:type="dxa"/>
              <w:start w:w="100" w:type="dxa"/>
              <w:bottom w:w="90" w:type="dxa"/>
              <w:end w:w="100" w:type="dxa"/>
            </w:tcMar>
            <w:shd w:fill="F5F8FA"/>
          </w:tcPr>
          <w:p>
            <w:pPr>
              <w:spacing w:after="0" w:before="0"/>
            </w:pPr>
            <w:r/>
            <w:r>
              <w:rPr>
                <w:rFonts w:ascii="Arial" w:hAnsi="Arial"/>
                <w:b w:val="0"/>
                <w:color w:val="16324F"/>
                <w:sz w:val="15"/>
              </w:rPr>
              <w:t>153.73</w:t>
            </w:r>
          </w:p>
        </w:tc>
        <w:tc>
          <w:tcPr>
            <w:tcW w:type="dxa" w:w="1800"/>
            <w:vAlign w:val="center"/>
            <w:tcMar>
              <w:top w:w="90" w:type="dxa"/>
              <w:start w:w="100" w:type="dxa"/>
              <w:bottom w:w="90" w:type="dxa"/>
              <w:end w:w="100" w:type="dxa"/>
            </w:tcMar>
            <w:shd w:fill="F5F8FA"/>
          </w:tcPr>
          <w:p>
            <w:pPr>
              <w:spacing w:after="0" w:before="0"/>
            </w:pPr>
            <w:r/>
            <w:r>
              <w:rPr>
                <w:rFonts w:ascii="Arial" w:hAnsi="Arial"/>
                <w:b w:val="0"/>
                <w:color w:val="16324F"/>
                <w:sz w:val="15"/>
              </w:rPr>
              <w:t>27.9%</w:t>
            </w:r>
          </w:p>
        </w:tc>
      </w:tr>
      <w:tr>
        <w:tc>
          <w:tcPr>
            <w:tcW w:type="dxa" w:w="3240"/>
            <w:vAlign w:val="center"/>
            <w:tcMar>
              <w:top w:w="90" w:type="dxa"/>
              <w:start w:w="100" w:type="dxa"/>
              <w:bottom w:w="90" w:type="dxa"/>
              <w:end w:w="100" w:type="dxa"/>
            </w:tcMar>
            <w:shd w:fill="FFFFFF"/>
          </w:tcPr>
          <w:p>
            <w:pPr>
              <w:spacing w:after="0" w:before="0"/>
            </w:pPr>
            <w:r/>
            <w:r>
              <w:rPr>
                <w:rFonts w:ascii="Arial" w:hAnsi="Arial"/>
                <w:b w:val="0"/>
                <w:color w:val="16324F"/>
                <w:sz w:val="15"/>
              </w:rPr>
              <w:t>Linear trend fitted to 2021–22 through 2024–25</w:t>
            </w:r>
          </w:p>
        </w:tc>
        <w:tc>
          <w:tcPr>
            <w:tcW w:type="dxa" w:w="1944"/>
            <w:vAlign w:val="center"/>
            <w:tcMar>
              <w:top w:w="90" w:type="dxa"/>
              <w:start w:w="100" w:type="dxa"/>
              <w:bottom w:w="90" w:type="dxa"/>
              <w:end w:w="100" w:type="dxa"/>
            </w:tcMar>
            <w:shd w:fill="FFFFFF"/>
          </w:tcPr>
          <w:p>
            <w:pPr>
              <w:spacing w:after="0" w:before="0"/>
            </w:pPr>
            <w:r/>
            <w:r>
              <w:rPr>
                <w:rFonts w:ascii="Arial" w:hAnsi="Arial"/>
                <w:b w:val="0"/>
                <w:color w:val="16324F"/>
                <w:sz w:val="15"/>
              </w:rPr>
              <w:t>453.77</w:t>
            </w:r>
          </w:p>
        </w:tc>
        <w:tc>
          <w:tcPr>
            <w:tcW w:type="dxa" w:w="1800"/>
            <w:vAlign w:val="center"/>
            <w:tcMar>
              <w:top w:w="90" w:type="dxa"/>
              <w:start w:w="100" w:type="dxa"/>
              <w:bottom w:w="90" w:type="dxa"/>
              <w:end w:w="100" w:type="dxa"/>
            </w:tcMar>
            <w:shd w:fill="FFFFFF"/>
          </w:tcPr>
          <w:p>
            <w:pPr>
              <w:spacing w:after="0" w:before="0"/>
            </w:pPr>
            <w:r/>
            <w:r>
              <w:rPr>
                <w:rFonts w:ascii="Arial" w:hAnsi="Arial"/>
                <w:b w:val="0"/>
                <w:color w:val="16324F"/>
                <w:sz w:val="15"/>
              </w:rPr>
              <w:t>97.16</w:t>
            </w:r>
          </w:p>
        </w:tc>
        <w:tc>
          <w:tcPr>
            <w:tcW w:type="dxa" w:w="1800"/>
            <w:vAlign w:val="center"/>
            <w:tcMar>
              <w:top w:w="90" w:type="dxa"/>
              <w:start w:w="100" w:type="dxa"/>
              <w:bottom w:w="90" w:type="dxa"/>
              <w:end w:w="100" w:type="dxa"/>
            </w:tcMar>
            <w:shd w:fill="FFFFFF"/>
          </w:tcPr>
          <w:p>
            <w:pPr>
              <w:spacing w:after="0" w:before="0"/>
            </w:pPr>
            <w:r/>
            <w:r>
              <w:rPr>
                <w:rFonts w:ascii="Arial" w:hAnsi="Arial"/>
                <w:b w:val="0"/>
                <w:color w:val="16324F"/>
                <w:sz w:val="15"/>
              </w:rPr>
              <w:t>17.6%</w:t>
            </w:r>
          </w:p>
        </w:tc>
      </w:tr>
      <w:tr>
        <w:tc>
          <w:tcPr>
            <w:tcW w:type="dxa" w:w="3240"/>
            <w:vAlign w:val="center"/>
            <w:tcMar>
              <w:top w:w="90" w:type="dxa"/>
              <w:start w:w="100" w:type="dxa"/>
              <w:bottom w:w="90" w:type="dxa"/>
              <w:end w:w="100" w:type="dxa"/>
            </w:tcMar>
            <w:shd w:fill="F5F8FA"/>
          </w:tcPr>
          <w:p>
            <w:pPr>
              <w:spacing w:after="0" w:before="0"/>
            </w:pPr>
            <w:r/>
            <w:r>
              <w:rPr>
                <w:rFonts w:ascii="Arial" w:hAnsi="Arial"/>
                <w:b w:val="0"/>
                <w:color w:val="16324F"/>
                <w:sz w:val="15"/>
              </w:rPr>
              <w:t>Comparison value: 2025–26 third advance estimate</w:t>
            </w:r>
          </w:p>
        </w:tc>
        <w:tc>
          <w:tcPr>
            <w:tcW w:type="dxa" w:w="1944"/>
            <w:vAlign w:val="center"/>
            <w:tcMar>
              <w:top w:w="90" w:type="dxa"/>
              <w:start w:w="100" w:type="dxa"/>
              <w:bottom w:w="90" w:type="dxa"/>
              <w:end w:w="100" w:type="dxa"/>
            </w:tcMar>
            <w:shd w:fill="F5F8FA"/>
          </w:tcPr>
          <w:p>
            <w:pPr>
              <w:spacing w:after="0" w:before="0"/>
            </w:pPr>
            <w:r/>
            <w:r>
              <w:rPr>
                <w:rFonts w:ascii="Arial" w:hAnsi="Arial"/>
                <w:b w:val="0"/>
                <w:color w:val="16324F"/>
                <w:sz w:val="15"/>
              </w:rPr>
              <w:t>550.93</w:t>
            </w:r>
          </w:p>
        </w:tc>
        <w:tc>
          <w:tcPr>
            <w:tcW w:type="dxa" w:w="1800"/>
            <w:vAlign w:val="center"/>
            <w:tcMar>
              <w:top w:w="90" w:type="dxa"/>
              <w:start w:w="100" w:type="dxa"/>
              <w:bottom w:w="90" w:type="dxa"/>
              <w:end w:w="100" w:type="dxa"/>
            </w:tcMar>
            <w:shd w:fill="F5F8FA"/>
          </w:tcPr>
          <w:p>
            <w:pPr>
              <w:spacing w:after="0" w:before="0"/>
            </w:pPr>
            <w:r/>
            <w:r>
              <w:rPr>
                <w:rFonts w:ascii="Arial" w:hAnsi="Arial"/>
                <w:b w:val="0"/>
                <w:color w:val="16324F"/>
                <w:sz w:val="15"/>
              </w:rPr>
              <w:t>—</w:t>
            </w:r>
          </w:p>
        </w:tc>
        <w:tc>
          <w:tcPr>
            <w:tcW w:type="dxa" w:w="1800"/>
            <w:vAlign w:val="center"/>
            <w:tcMar>
              <w:top w:w="90" w:type="dxa"/>
              <w:start w:w="100" w:type="dxa"/>
              <w:bottom w:w="90" w:type="dxa"/>
              <w:end w:w="100" w:type="dxa"/>
            </w:tcMar>
            <w:shd w:fill="F5F8FA"/>
          </w:tcPr>
          <w:p>
            <w:pPr>
              <w:spacing w:after="0" w:before="0"/>
            </w:pPr>
            <w:r/>
            <w:r>
              <w:rPr>
                <w:rFonts w:ascii="Arial" w:hAnsi="Arial"/>
                <w:b w:val="0"/>
                <w:color w:val="16324F"/>
                <w:sz w:val="15"/>
              </w:rPr>
              <w:t>—</w:t>
            </w:r>
          </w:p>
        </w:tc>
      </w:tr>
    </w:tbl>
    <w:p>
      <w:pPr>
        <w:spacing w:after="0"/>
      </w:pPr>
    </w:p>
    <w:p>
      <w:r>
        <w:drawing>
          <wp:inline xmlns:a="http://schemas.openxmlformats.org/drawingml/2006/main" xmlns:pic="http://schemas.openxmlformats.org/drawingml/2006/picture">
            <wp:extent cx="5715000" cy="2557541"/>
            <wp:docPr id="3" name="Picture 3"/>
            <wp:cNvGraphicFramePr>
              <a:graphicFrameLocks noChangeAspect="1"/>
            </wp:cNvGraphicFramePr>
            <a:graphic>
              <a:graphicData uri="http://schemas.openxmlformats.org/drawingml/2006/picture">
                <pic:pic>
                  <pic:nvPicPr>
                    <pic:cNvPr id="0" name="forecast_comparison.png"/>
                    <pic:cNvPicPr/>
                  </pic:nvPicPr>
                  <pic:blipFill>
                    <a:blip r:embed="rId13"/>
                    <a:stretch>
                      <a:fillRect/>
                    </a:stretch>
                  </pic:blipFill>
                  <pic:spPr>
                    <a:xfrm>
                      <a:off x="0" y="0"/>
                      <a:ext cx="5715000" cy="2557541"/>
                    </a:xfrm>
                    <a:prstGeom prst="rect"/>
                  </pic:spPr>
                </pic:pic>
              </a:graphicData>
            </a:graphic>
          </wp:inline>
        </w:drawing>
      </w:r>
    </w:p>
    <w:p>
      <w:pPr>
        <w:spacing w:after="80"/>
        <w:jc w:val="center"/>
      </w:pPr>
      <w:r>
        <w:rPr>
          <w:i/>
          <w:color w:val="557080"/>
          <w:sz w:val="16"/>
        </w:rPr>
        <w:t>Figure 3. Forecasts from three simple baselines compared with the 2025–26 third advance estimate.</w:t>
      </w:r>
    </w:p>
    <w:p>
      <w:pPr>
        <w:pStyle w:val="Heading2"/>
        <w:keepNext/>
        <w:spacing w:before="120" w:after="60"/>
      </w:pPr>
      <w:r>
        <w:t>5.3 What the demonstration tells us—and does not tell us</w:t>
      </w:r>
    </w:p>
    <w:p>
      <w:pPr>
        <w:pStyle w:val="ListBullet"/>
        <w:keepLines/>
        <w:spacing w:after="60"/>
      </w:pPr>
      <w:r>
        <w:t>On this single comparison point, the linear-trend estimate has the smallest absolute error among the three methods. That does not prove it will perform best in future years.</w:t>
      </w:r>
    </w:p>
    <w:p>
      <w:pPr>
        <w:pStyle w:val="ListBullet"/>
        <w:keepLines/>
        <w:spacing w:after="60"/>
      </w:pPr>
      <w:r>
        <w:t>Only four training observations are available in this example, and 2025–26 is a third advance estimate. Longer historical data and revisions should be used before formal model selection.</w:t>
      </w:r>
    </w:p>
    <w:p>
      <w:pPr>
        <w:pStyle w:val="ListBullet"/>
        <w:keepLines/>
        <w:spacing w:after="60"/>
      </w:pPr>
      <w:r>
        <w:t>For market prices, model at a weekly or monthly frequency after checking seasonality. Compare naïve and seasonal-naïve baselines with moving average and trend models.</w:t>
      </w:r>
    </w:p>
    <w:p>
      <w:pPr>
        <w:pStyle w:val="ListBullet"/>
        <w:keepLines/>
        <w:spacing w:after="60"/>
      </w:pPr>
      <w:r>
        <w:t>If enough market-price observations are available, add rainfall, arrivals, month/season, holidays, market and commodity as candidate features. Validate using rolling-origin splits to prevent look-ahead bias.</w:t>
      </w:r>
    </w:p>
    <w:p>
      <w:pPr>
        <w:pStyle w:val="Heading2"/>
        <w:keepNext/>
        <w:spacing w:before="120" w:after="60"/>
      </w:pPr>
      <w:r>
        <w:t>5.4 Model evaluation plan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16"/>
            <w:shd w:fill="16324F"/>
            <w:vAlign w:val="center"/>
            <w:tcMar>
              <w:top w:w="90" w:type="dxa"/>
              <w:start w:w="100" w:type="dxa"/>
              <w:bottom w:w="90" w:type="dxa"/>
              <w:end w:w="100" w:type="dxa"/>
            </w:tcMar>
          </w:tcPr>
          <w:p>
            <w:pPr>
              <w:spacing w:after="0" w:before="0"/>
            </w:pPr>
            <w:r/>
            <w:r>
              <w:rPr>
                <w:rFonts w:ascii="Arial" w:hAnsi="Arial"/>
                <w:b/>
                <w:color w:val="FFFFFF"/>
                <w:sz w:val="16"/>
              </w:rPr>
              <w:t>Validation design</w:t>
            </w:r>
          </w:p>
        </w:tc>
        <w:tc>
          <w:tcPr>
            <w:tcW w:type="dxa" w:w="4104"/>
            <w:shd w:fill="16324F"/>
            <w:vAlign w:val="center"/>
            <w:tcMar>
              <w:top w:w="90" w:type="dxa"/>
              <w:start w:w="100" w:type="dxa"/>
              <w:bottom w:w="90" w:type="dxa"/>
              <w:end w:w="100" w:type="dxa"/>
            </w:tcMar>
          </w:tcPr>
          <w:p>
            <w:pPr>
              <w:spacing w:after="0" w:before="0"/>
            </w:pPr>
            <w:r/>
            <w:r>
              <w:rPr>
                <w:rFonts w:ascii="Arial" w:hAnsi="Arial"/>
                <w:b/>
                <w:color w:val="FFFFFF"/>
                <w:sz w:val="16"/>
              </w:rPr>
              <w:t>Procedure</w:t>
            </w:r>
          </w:p>
        </w:tc>
        <w:tc>
          <w:tcPr>
            <w:tcW w:type="dxa" w:w="2664"/>
            <w:shd w:fill="16324F"/>
            <w:vAlign w:val="center"/>
            <w:tcMar>
              <w:top w:w="90" w:type="dxa"/>
              <w:start w:w="100" w:type="dxa"/>
              <w:bottom w:w="90" w:type="dxa"/>
              <w:end w:w="100" w:type="dxa"/>
            </w:tcMar>
          </w:tcPr>
          <w:p>
            <w:pPr>
              <w:spacing w:after="0" w:before="0"/>
            </w:pPr>
            <w:r/>
            <w:r>
              <w:rPr>
                <w:rFonts w:ascii="Arial" w:hAnsi="Arial"/>
                <w:b/>
                <w:color w:val="FFFFFF"/>
                <w:sz w:val="16"/>
              </w:rPr>
              <w:t>Success condition</w:t>
            </w:r>
          </w:p>
        </w:tc>
      </w:tr>
      <w:tr>
        <w:tc>
          <w:tcPr>
            <w:tcW w:type="dxa" w:w="2016"/>
            <w:vAlign w:val="center"/>
            <w:tcMar>
              <w:top w:w="90" w:type="dxa"/>
              <w:start w:w="100" w:type="dxa"/>
              <w:bottom w:w="90" w:type="dxa"/>
              <w:end w:w="100" w:type="dxa"/>
            </w:tcMar>
            <w:shd w:fill="FFFFFF"/>
          </w:tcPr>
          <w:p>
            <w:pPr>
              <w:spacing w:after="0" w:before="0"/>
            </w:pPr>
            <w:r/>
            <w:r>
              <w:rPr>
                <w:rFonts w:ascii="Arial" w:hAnsi="Arial"/>
                <w:b w:val="0"/>
                <w:color w:val="16324F"/>
                <w:sz w:val="16"/>
              </w:rPr>
              <w:t>Chronological holdout</w:t>
            </w:r>
          </w:p>
        </w:tc>
        <w:tc>
          <w:tcPr>
            <w:tcW w:type="dxa" w:w="4104"/>
            <w:vAlign w:val="center"/>
            <w:tcMar>
              <w:top w:w="90" w:type="dxa"/>
              <w:start w:w="100" w:type="dxa"/>
              <w:bottom w:w="90" w:type="dxa"/>
              <w:end w:w="100" w:type="dxa"/>
            </w:tcMar>
            <w:shd w:fill="FFFFFF"/>
          </w:tcPr>
          <w:p>
            <w:pPr>
              <w:spacing w:after="0" w:before="0"/>
            </w:pPr>
            <w:r/>
            <w:r>
              <w:rPr>
                <w:rFonts w:ascii="Arial" w:hAnsi="Arial"/>
                <w:b w:val="0"/>
                <w:color w:val="16324F"/>
                <w:sz w:val="16"/>
              </w:rPr>
              <w:t>Train on earlier records, test on later time periods; no random row split for time series.</w:t>
            </w:r>
          </w:p>
        </w:tc>
        <w:tc>
          <w:tcPr>
            <w:tcW w:type="dxa" w:w="2664"/>
            <w:vAlign w:val="center"/>
            <w:tcMar>
              <w:top w:w="90" w:type="dxa"/>
              <w:start w:w="100" w:type="dxa"/>
              <w:bottom w:w="90" w:type="dxa"/>
              <w:end w:w="100" w:type="dxa"/>
            </w:tcMar>
            <w:shd w:fill="FFFFFF"/>
          </w:tcPr>
          <w:p>
            <w:pPr>
              <w:spacing w:after="0" w:before="0"/>
            </w:pPr>
            <w:r/>
            <w:r>
              <w:rPr>
                <w:rFonts w:ascii="Arial" w:hAnsi="Arial"/>
                <w:b w:val="0"/>
                <w:color w:val="16324F"/>
                <w:sz w:val="16"/>
              </w:rPr>
              <w:t>All test observations occur after training observations.</w:t>
            </w:r>
          </w:p>
        </w:tc>
      </w:tr>
      <w:tr>
        <w:tc>
          <w:tcPr>
            <w:tcW w:type="dxa" w:w="2016"/>
            <w:vAlign w:val="center"/>
            <w:tcMar>
              <w:top w:w="90" w:type="dxa"/>
              <w:start w:w="100" w:type="dxa"/>
              <w:bottom w:w="90" w:type="dxa"/>
              <w:end w:w="100" w:type="dxa"/>
            </w:tcMar>
            <w:shd w:fill="F5F8FA"/>
          </w:tcPr>
          <w:p>
            <w:pPr>
              <w:spacing w:after="0" w:before="0"/>
            </w:pPr>
            <w:r/>
            <w:r>
              <w:rPr>
                <w:rFonts w:ascii="Arial" w:hAnsi="Arial"/>
                <w:b w:val="0"/>
                <w:color w:val="16324F"/>
                <w:sz w:val="16"/>
              </w:rPr>
              <w:t>Rolling-origin checks</w:t>
            </w:r>
          </w:p>
        </w:tc>
        <w:tc>
          <w:tcPr>
            <w:tcW w:type="dxa" w:w="4104"/>
            <w:vAlign w:val="center"/>
            <w:tcMar>
              <w:top w:w="90" w:type="dxa"/>
              <w:start w:w="100" w:type="dxa"/>
              <w:bottom w:w="90" w:type="dxa"/>
              <w:end w:w="100" w:type="dxa"/>
            </w:tcMar>
            <w:shd w:fill="F5F8FA"/>
          </w:tcPr>
          <w:p>
            <w:pPr>
              <w:spacing w:after="0" w:before="0"/>
            </w:pPr>
            <w:r/>
            <w:r>
              <w:rPr>
                <w:rFonts w:ascii="Arial" w:hAnsi="Arial"/>
                <w:b w:val="0"/>
                <w:color w:val="16324F"/>
                <w:sz w:val="16"/>
              </w:rPr>
              <w:t>Move the forecast origin forward and recompute each forecast using only data available at that point.</w:t>
            </w:r>
          </w:p>
        </w:tc>
        <w:tc>
          <w:tcPr>
            <w:tcW w:type="dxa" w:w="2664"/>
            <w:vAlign w:val="center"/>
            <w:tcMar>
              <w:top w:w="90" w:type="dxa"/>
              <w:start w:w="100" w:type="dxa"/>
              <w:bottom w:w="90" w:type="dxa"/>
              <w:end w:w="100" w:type="dxa"/>
            </w:tcMar>
            <w:shd w:fill="F5F8FA"/>
          </w:tcPr>
          <w:p>
            <w:pPr>
              <w:spacing w:after="0" w:before="0"/>
            </w:pPr>
            <w:r/>
            <w:r>
              <w:rPr>
                <w:rFonts w:ascii="Arial" w:hAnsi="Arial"/>
                <w:b w:val="0"/>
                <w:color w:val="16324F"/>
                <w:sz w:val="16"/>
              </w:rPr>
              <w:t>Report average and range of MAE/RMSE across folds.</w:t>
            </w:r>
          </w:p>
        </w:tc>
      </w:tr>
      <w:tr>
        <w:tc>
          <w:tcPr>
            <w:tcW w:type="dxa" w:w="2016"/>
            <w:vAlign w:val="center"/>
            <w:tcMar>
              <w:top w:w="90" w:type="dxa"/>
              <w:start w:w="100" w:type="dxa"/>
              <w:bottom w:w="90" w:type="dxa"/>
              <w:end w:w="100" w:type="dxa"/>
            </w:tcMar>
            <w:shd w:fill="FFFFFF"/>
          </w:tcPr>
          <w:p>
            <w:pPr>
              <w:spacing w:after="0" w:before="0"/>
            </w:pPr>
            <w:r/>
            <w:r>
              <w:rPr>
                <w:rFonts w:ascii="Arial" w:hAnsi="Arial"/>
                <w:b w:val="0"/>
                <w:color w:val="16324F"/>
                <w:sz w:val="16"/>
              </w:rPr>
              <w:t>Baseline comparison</w:t>
            </w:r>
          </w:p>
        </w:tc>
        <w:tc>
          <w:tcPr>
            <w:tcW w:type="dxa" w:w="4104"/>
            <w:vAlign w:val="center"/>
            <w:tcMar>
              <w:top w:w="90" w:type="dxa"/>
              <w:start w:w="100" w:type="dxa"/>
              <w:bottom w:w="90" w:type="dxa"/>
              <w:end w:w="100" w:type="dxa"/>
            </w:tcMar>
            <w:shd w:fill="FFFFFF"/>
          </w:tcPr>
          <w:p>
            <w:pPr>
              <w:spacing w:after="0" w:before="0"/>
            </w:pPr>
            <w:r/>
            <w:r>
              <w:rPr>
                <w:rFonts w:ascii="Arial" w:hAnsi="Arial"/>
                <w:b w:val="0"/>
                <w:color w:val="16324F"/>
                <w:sz w:val="16"/>
              </w:rPr>
              <w:t>Evaluate the same test dates for naïve, seasonal-naïve, moving average and trend models.</w:t>
            </w:r>
          </w:p>
        </w:tc>
        <w:tc>
          <w:tcPr>
            <w:tcW w:type="dxa" w:w="2664"/>
            <w:vAlign w:val="center"/>
            <w:tcMar>
              <w:top w:w="90" w:type="dxa"/>
              <w:start w:w="100" w:type="dxa"/>
              <w:bottom w:w="90" w:type="dxa"/>
              <w:end w:w="100" w:type="dxa"/>
            </w:tcMar>
            <w:shd w:fill="FFFFFF"/>
          </w:tcPr>
          <w:p>
            <w:pPr>
              <w:spacing w:after="0" w:before="0"/>
            </w:pPr>
            <w:r/>
            <w:r>
              <w:rPr>
                <w:rFonts w:ascii="Arial" w:hAnsi="Arial"/>
                <w:b w:val="0"/>
                <w:color w:val="16324F"/>
                <w:sz w:val="16"/>
              </w:rPr>
              <w:t>Prefer a complex model only if it consistently improves on the relevant baseline.</w:t>
            </w:r>
          </w:p>
        </w:tc>
      </w:tr>
      <w:tr>
        <w:tc>
          <w:tcPr>
            <w:tcW w:type="dxa" w:w="2016"/>
            <w:vAlign w:val="center"/>
            <w:tcMar>
              <w:top w:w="90" w:type="dxa"/>
              <w:start w:w="100" w:type="dxa"/>
              <w:bottom w:w="90" w:type="dxa"/>
              <w:end w:w="100" w:type="dxa"/>
            </w:tcMar>
            <w:shd w:fill="F5F8FA"/>
          </w:tcPr>
          <w:p>
            <w:pPr>
              <w:spacing w:after="0" w:before="0"/>
            </w:pPr>
            <w:r/>
            <w:r>
              <w:rPr>
                <w:rFonts w:ascii="Arial" w:hAnsi="Arial"/>
                <w:b w:val="0"/>
                <w:color w:val="16324F"/>
                <w:sz w:val="16"/>
              </w:rPr>
              <w:t>Residual and bias checks</w:t>
            </w:r>
          </w:p>
        </w:tc>
        <w:tc>
          <w:tcPr>
            <w:tcW w:type="dxa" w:w="4104"/>
            <w:vAlign w:val="center"/>
            <w:tcMar>
              <w:top w:w="90" w:type="dxa"/>
              <w:start w:w="100" w:type="dxa"/>
              <w:bottom w:w="90" w:type="dxa"/>
              <w:end w:w="100" w:type="dxa"/>
            </w:tcMar>
            <w:shd w:fill="F5F8FA"/>
          </w:tcPr>
          <w:p>
            <w:pPr>
              <w:spacing w:after="0" w:before="0"/>
            </w:pPr>
            <w:r/>
            <w:r>
              <w:rPr>
                <w:rFonts w:ascii="Arial" w:hAnsi="Arial"/>
                <w:b w:val="0"/>
                <w:color w:val="16324F"/>
                <w:sz w:val="16"/>
              </w:rPr>
              <w:t>Plot errors over time and by crop/market/season.</w:t>
            </w:r>
          </w:p>
        </w:tc>
        <w:tc>
          <w:tcPr>
            <w:tcW w:type="dxa" w:w="2664"/>
            <w:vAlign w:val="center"/>
            <w:tcMar>
              <w:top w:w="90" w:type="dxa"/>
              <w:start w:w="100" w:type="dxa"/>
              <w:bottom w:w="90" w:type="dxa"/>
              <w:end w:w="100" w:type="dxa"/>
            </w:tcMar>
            <w:shd w:fill="F5F8FA"/>
          </w:tcPr>
          <w:p>
            <w:pPr>
              <w:spacing w:after="0" w:before="0"/>
            </w:pPr>
            <w:r/>
            <w:r>
              <w:rPr>
                <w:rFonts w:ascii="Arial" w:hAnsi="Arial"/>
                <w:b w:val="0"/>
                <w:color w:val="16324F"/>
                <w:sz w:val="16"/>
              </w:rPr>
              <w:t>No unexplained systematic under- or over-prediction; document limitations.</w:t>
            </w:r>
          </w:p>
        </w:tc>
      </w:tr>
    </w:tbl>
    <w:p>
      <w:pPr>
        <w:spacing w:after="0"/>
      </w:pPr>
    </w:p>
    <w:p>
      <w:pPr>
        <w:pStyle w:val="Heading1"/>
        <w:keepNext/>
        <w:pageBreakBefore/>
        <w:spacing w:before="180" w:after="100"/>
      </w:pPr>
      <w:r>
        <w:t>6. Timeline, Milestones and Deliverables</w:t>
      </w:r>
    </w:p>
    <w:p>
      <w:r>
        <w:t>The dates below are a proposed working schedule beginning 12 October 2026. The Week 1 planning document is planned for completion by 18 October; follow-on work continues to 8 November. A milestone is complete only when its output is saved and checked. If a source is delayed, record the issue and proceed only with available verified data rather than inventing values. Adjust dates if the platform specifies another deadline.</w:t>
      </w:r>
    </w:p>
    <w:p>
      <w:pPr>
        <w:pStyle w:val="Heading2"/>
        <w:keepNext/>
        <w:spacing w:before="120" w:after="60"/>
      </w:pPr>
      <w:r>
        <w:t>6.1 Week 1 planning milestones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512"/>
            <w:shd w:fill="16324F"/>
            <w:vAlign w:val="center"/>
            <w:tcMar>
              <w:top w:w="90" w:type="dxa"/>
              <w:start w:w="100" w:type="dxa"/>
              <w:bottom w:w="90" w:type="dxa"/>
              <w:end w:w="100" w:type="dxa"/>
            </w:tcMar>
          </w:tcPr>
          <w:p>
            <w:pPr>
              <w:spacing w:after="0" w:before="0"/>
            </w:pPr>
            <w:r/>
            <w:r>
              <w:rPr>
                <w:rFonts w:ascii="Arial" w:hAnsi="Arial"/>
                <w:b/>
                <w:color w:val="FFFFFF"/>
                <w:sz w:val="16"/>
              </w:rPr>
              <w:t>Date</w:t>
            </w:r>
          </w:p>
        </w:tc>
        <w:tc>
          <w:tcPr>
            <w:tcW w:type="dxa" w:w="3528"/>
            <w:shd w:fill="16324F"/>
            <w:vAlign w:val="center"/>
            <w:tcMar>
              <w:top w:w="90" w:type="dxa"/>
              <w:start w:w="100" w:type="dxa"/>
              <w:bottom w:w="90" w:type="dxa"/>
              <w:end w:w="100" w:type="dxa"/>
            </w:tcMar>
          </w:tcPr>
          <w:p>
            <w:pPr>
              <w:spacing w:after="0" w:before="0"/>
            </w:pPr>
            <w:r/>
            <w:r>
              <w:rPr>
                <w:rFonts w:ascii="Arial" w:hAnsi="Arial"/>
                <w:b/>
                <w:color w:val="FFFFFF"/>
                <w:sz w:val="16"/>
              </w:rPr>
              <w:t>Task</w:t>
            </w:r>
          </w:p>
        </w:tc>
        <w:tc>
          <w:tcPr>
            <w:tcW w:type="dxa" w:w="3744"/>
            <w:shd w:fill="16324F"/>
            <w:vAlign w:val="center"/>
            <w:tcMar>
              <w:top w:w="90" w:type="dxa"/>
              <w:start w:w="100" w:type="dxa"/>
              <w:bottom w:w="90" w:type="dxa"/>
              <w:end w:w="100" w:type="dxa"/>
            </w:tcMar>
          </w:tcPr>
          <w:p>
            <w:pPr>
              <w:spacing w:after="0" w:before="0"/>
            </w:pPr>
            <w:r/>
            <w:r>
              <w:rPr>
                <w:rFonts w:ascii="Arial" w:hAnsi="Arial"/>
                <w:b/>
                <w:color w:val="FFFFFF"/>
                <w:sz w:val="16"/>
              </w:rPr>
              <w:t>Output / acceptance check</w:t>
            </w:r>
          </w:p>
        </w:tc>
      </w:tr>
      <w:tr>
        <w:tc>
          <w:tcPr>
            <w:tcW w:type="dxa" w:w="1512"/>
            <w:vAlign w:val="center"/>
            <w:tcMar>
              <w:top w:w="90" w:type="dxa"/>
              <w:start w:w="100" w:type="dxa"/>
              <w:bottom w:w="90" w:type="dxa"/>
              <w:end w:w="100" w:type="dxa"/>
            </w:tcMar>
            <w:shd w:fill="FFFFFF"/>
          </w:tcPr>
          <w:p>
            <w:pPr>
              <w:spacing w:after="0" w:before="0"/>
            </w:pPr>
            <w:r/>
            <w:r>
              <w:rPr>
                <w:rFonts w:ascii="Arial" w:hAnsi="Arial"/>
                <w:b w:val="0"/>
                <w:color w:val="16324F"/>
                <w:sz w:val="16"/>
              </w:rPr>
              <w:t>12 Oct 2026</w:t>
            </w:r>
          </w:p>
        </w:tc>
        <w:tc>
          <w:tcPr>
            <w:tcW w:type="dxa" w:w="3528"/>
            <w:vAlign w:val="center"/>
            <w:tcMar>
              <w:top w:w="90" w:type="dxa"/>
              <w:start w:w="100" w:type="dxa"/>
              <w:bottom w:w="90" w:type="dxa"/>
              <w:end w:w="100" w:type="dxa"/>
            </w:tcMar>
            <w:shd w:fill="FFFFFF"/>
          </w:tcPr>
          <w:p>
            <w:pPr>
              <w:spacing w:after="0" w:before="0"/>
            </w:pPr>
            <w:r/>
            <w:r>
              <w:rPr>
                <w:rFonts w:ascii="Arial" w:hAnsi="Arial"/>
                <w:b w:val="0"/>
                <w:color w:val="16324F"/>
                <w:sz w:val="16"/>
              </w:rPr>
              <w:t>Confirm questions, geography, pilot crops, target variables and exclusions.</w:t>
            </w:r>
          </w:p>
        </w:tc>
        <w:tc>
          <w:tcPr>
            <w:tcW w:type="dxa" w:w="3744"/>
            <w:vAlign w:val="center"/>
            <w:tcMar>
              <w:top w:w="90" w:type="dxa"/>
              <w:start w:w="100" w:type="dxa"/>
              <w:bottom w:w="90" w:type="dxa"/>
              <w:end w:w="100" w:type="dxa"/>
            </w:tcMar>
            <w:shd w:fill="FFFFFF"/>
          </w:tcPr>
          <w:p>
            <w:pPr>
              <w:spacing w:after="0" w:before="0"/>
            </w:pPr>
            <w:r/>
            <w:r>
              <w:rPr>
                <w:rFonts w:ascii="Arial" w:hAnsi="Arial"/>
                <w:b w:val="0"/>
                <w:color w:val="16324F"/>
                <w:sz w:val="16"/>
              </w:rPr>
              <w:t>One-page scope; each question linked to a measurable indicator.</w:t>
            </w:r>
          </w:p>
        </w:tc>
      </w:tr>
      <w:tr>
        <w:tc>
          <w:tcPr>
            <w:tcW w:type="dxa" w:w="1512"/>
            <w:vAlign w:val="center"/>
            <w:tcMar>
              <w:top w:w="90" w:type="dxa"/>
              <w:start w:w="100" w:type="dxa"/>
              <w:bottom w:w="90" w:type="dxa"/>
              <w:end w:w="100" w:type="dxa"/>
            </w:tcMar>
            <w:shd w:fill="F5F8FA"/>
          </w:tcPr>
          <w:p>
            <w:pPr>
              <w:spacing w:after="0" w:before="0"/>
            </w:pPr>
            <w:r/>
            <w:r>
              <w:rPr>
                <w:rFonts w:ascii="Arial" w:hAnsi="Arial"/>
                <w:b w:val="0"/>
                <w:color w:val="16324F"/>
                <w:sz w:val="16"/>
              </w:rPr>
              <w:t>13 Oct 2026</w:t>
            </w:r>
          </w:p>
        </w:tc>
        <w:tc>
          <w:tcPr>
            <w:tcW w:type="dxa" w:w="3528"/>
            <w:vAlign w:val="center"/>
            <w:tcMar>
              <w:top w:w="90" w:type="dxa"/>
              <w:start w:w="100" w:type="dxa"/>
              <w:bottom w:w="90" w:type="dxa"/>
              <w:end w:w="100" w:type="dxa"/>
            </w:tcMar>
            <w:shd w:fill="F5F8FA"/>
          </w:tcPr>
          <w:p>
            <w:pPr>
              <w:spacing w:after="0" w:before="0"/>
            </w:pPr>
            <w:r/>
            <w:r>
              <w:rPr>
                <w:rFonts w:ascii="Arial" w:hAnsi="Arial"/>
                <w:b w:val="0"/>
                <w:color w:val="16324F"/>
                <w:sz w:val="16"/>
              </w:rPr>
              <w:t>Review official production, market-price, climate and context sources.</w:t>
            </w:r>
          </w:p>
        </w:tc>
        <w:tc>
          <w:tcPr>
            <w:tcW w:type="dxa" w:w="3744"/>
            <w:vAlign w:val="center"/>
            <w:tcMar>
              <w:top w:w="90" w:type="dxa"/>
              <w:start w:w="100" w:type="dxa"/>
              <w:bottom w:w="90" w:type="dxa"/>
              <w:end w:w="100" w:type="dxa"/>
            </w:tcMar>
            <w:shd w:fill="F5F8FA"/>
          </w:tcPr>
          <w:p>
            <w:pPr>
              <w:spacing w:after="0" w:before="0"/>
            </w:pPr>
            <w:r/>
            <w:r>
              <w:rPr>
                <w:rFonts w:ascii="Arial" w:hAnsi="Arial"/>
                <w:b w:val="0"/>
                <w:color w:val="16324F"/>
                <w:sz w:val="16"/>
              </w:rPr>
              <w:t>Source register with titles, links, units, coverage and retrieval notes.</w:t>
            </w:r>
          </w:p>
        </w:tc>
      </w:tr>
      <w:tr>
        <w:tc>
          <w:tcPr>
            <w:tcW w:type="dxa" w:w="1512"/>
            <w:vAlign w:val="center"/>
            <w:tcMar>
              <w:top w:w="90" w:type="dxa"/>
              <w:start w:w="100" w:type="dxa"/>
              <w:bottom w:w="90" w:type="dxa"/>
              <w:end w:w="100" w:type="dxa"/>
            </w:tcMar>
            <w:shd w:fill="FFFFFF"/>
          </w:tcPr>
          <w:p>
            <w:pPr>
              <w:spacing w:after="0" w:before="0"/>
            </w:pPr>
            <w:r/>
            <w:r>
              <w:rPr>
                <w:rFonts w:ascii="Arial" w:hAnsi="Arial"/>
                <w:b w:val="0"/>
                <w:color w:val="16324F"/>
                <w:sz w:val="16"/>
              </w:rPr>
              <w:t>14 Oct 2026</w:t>
            </w:r>
          </w:p>
        </w:tc>
        <w:tc>
          <w:tcPr>
            <w:tcW w:type="dxa" w:w="3528"/>
            <w:vAlign w:val="center"/>
            <w:tcMar>
              <w:top w:w="90" w:type="dxa"/>
              <w:start w:w="100" w:type="dxa"/>
              <w:bottom w:w="90" w:type="dxa"/>
              <w:end w:w="100" w:type="dxa"/>
            </w:tcMar>
            <w:shd w:fill="FFFFFF"/>
          </w:tcPr>
          <w:p>
            <w:pPr>
              <w:spacing w:after="0" w:before="0"/>
            </w:pPr>
            <w:r/>
            <w:r>
              <w:rPr>
                <w:rFonts w:ascii="Arial" w:hAnsi="Arial"/>
                <w:b w:val="0"/>
                <w:color w:val="16324F"/>
                <w:sz w:val="16"/>
              </w:rPr>
              <w:t>Choose candidate crops/markets based on availability, not preference alone.</w:t>
            </w:r>
          </w:p>
        </w:tc>
        <w:tc>
          <w:tcPr>
            <w:tcW w:type="dxa" w:w="3744"/>
            <w:vAlign w:val="center"/>
            <w:tcMar>
              <w:top w:w="90" w:type="dxa"/>
              <w:start w:w="100" w:type="dxa"/>
              <w:bottom w:w="90" w:type="dxa"/>
              <w:end w:w="100" w:type="dxa"/>
            </w:tcMar>
            <w:shd w:fill="FFFFFF"/>
          </w:tcPr>
          <w:p>
            <w:pPr>
              <w:spacing w:after="0" w:before="0"/>
            </w:pPr>
            <w:r/>
            <w:r>
              <w:rPr>
                <w:rFonts w:ascii="Arial" w:hAnsi="Arial"/>
                <w:b w:val="0"/>
                <w:color w:val="16324F"/>
                <w:sz w:val="16"/>
              </w:rPr>
              <w:t>Selection table listing completeness and exclusions.</w:t>
            </w:r>
          </w:p>
        </w:tc>
      </w:tr>
      <w:tr>
        <w:tc>
          <w:tcPr>
            <w:tcW w:type="dxa" w:w="1512"/>
            <w:vAlign w:val="center"/>
            <w:tcMar>
              <w:top w:w="90" w:type="dxa"/>
              <w:start w:w="100" w:type="dxa"/>
              <w:bottom w:w="90" w:type="dxa"/>
              <w:end w:w="100" w:type="dxa"/>
            </w:tcMar>
            <w:shd w:fill="F5F8FA"/>
          </w:tcPr>
          <w:p>
            <w:pPr>
              <w:spacing w:after="0" w:before="0"/>
            </w:pPr>
            <w:r/>
            <w:r>
              <w:rPr>
                <w:rFonts w:ascii="Arial" w:hAnsi="Arial"/>
                <w:b w:val="0"/>
                <w:color w:val="16324F"/>
                <w:sz w:val="16"/>
              </w:rPr>
              <w:t>15 Oct 2026</w:t>
            </w:r>
          </w:p>
        </w:tc>
        <w:tc>
          <w:tcPr>
            <w:tcW w:type="dxa" w:w="3528"/>
            <w:vAlign w:val="center"/>
            <w:tcMar>
              <w:top w:w="90" w:type="dxa"/>
              <w:start w:w="100" w:type="dxa"/>
              <w:bottom w:w="90" w:type="dxa"/>
              <w:end w:w="100" w:type="dxa"/>
            </w:tcMar>
            <w:shd w:fill="F5F8FA"/>
          </w:tcPr>
          <w:p>
            <w:pPr>
              <w:spacing w:after="0" w:before="0"/>
            </w:pPr>
            <w:r/>
            <w:r>
              <w:rPr>
                <w:rFonts w:ascii="Arial" w:hAnsi="Arial"/>
                <w:b w:val="0"/>
                <w:color w:val="16324F"/>
                <w:sz w:val="16"/>
              </w:rPr>
              <w:t>Define variable names, units, keys, expected frequency and quality rules.</w:t>
            </w:r>
          </w:p>
        </w:tc>
        <w:tc>
          <w:tcPr>
            <w:tcW w:type="dxa" w:w="3744"/>
            <w:vAlign w:val="center"/>
            <w:tcMar>
              <w:top w:w="90" w:type="dxa"/>
              <w:start w:w="100" w:type="dxa"/>
              <w:bottom w:w="90" w:type="dxa"/>
              <w:end w:w="100" w:type="dxa"/>
            </w:tcMar>
            <w:shd w:fill="F5F8FA"/>
          </w:tcPr>
          <w:p>
            <w:pPr>
              <w:spacing w:after="0" w:before="0"/>
            </w:pPr>
            <w:r/>
            <w:r>
              <w:rPr>
                <w:rFonts w:ascii="Arial" w:hAnsi="Arial"/>
                <w:b w:val="0"/>
                <w:color w:val="16324F"/>
                <w:sz w:val="16"/>
              </w:rPr>
              <w:t>Draft data dictionary and join-key specification.</w:t>
            </w:r>
          </w:p>
        </w:tc>
      </w:tr>
      <w:tr>
        <w:tc>
          <w:tcPr>
            <w:tcW w:type="dxa" w:w="1512"/>
            <w:vAlign w:val="center"/>
            <w:tcMar>
              <w:top w:w="90" w:type="dxa"/>
              <w:start w:w="100" w:type="dxa"/>
              <w:bottom w:w="90" w:type="dxa"/>
              <w:end w:w="100" w:type="dxa"/>
            </w:tcMar>
            <w:shd w:fill="FFFFFF"/>
          </w:tcPr>
          <w:p>
            <w:pPr>
              <w:spacing w:after="0" w:before="0"/>
            </w:pPr>
            <w:r/>
            <w:r>
              <w:rPr>
                <w:rFonts w:ascii="Arial" w:hAnsi="Arial"/>
                <w:b w:val="0"/>
                <w:color w:val="16324F"/>
                <w:sz w:val="16"/>
              </w:rPr>
              <w:t>16 Oct 2026</w:t>
            </w:r>
          </w:p>
        </w:tc>
        <w:tc>
          <w:tcPr>
            <w:tcW w:type="dxa" w:w="3528"/>
            <w:vAlign w:val="center"/>
            <w:tcMar>
              <w:top w:w="90" w:type="dxa"/>
              <w:start w:w="100" w:type="dxa"/>
              <w:bottom w:w="90" w:type="dxa"/>
              <w:end w:w="100" w:type="dxa"/>
            </w:tcMar>
            <w:shd w:fill="FFFFFF"/>
          </w:tcPr>
          <w:p>
            <w:pPr>
              <w:spacing w:after="0" w:before="0"/>
            </w:pPr>
            <w:r/>
            <w:r>
              <w:rPr>
                <w:rFonts w:ascii="Arial" w:hAnsi="Arial"/>
                <w:b w:val="0"/>
                <w:color w:val="16324F"/>
                <w:sz w:val="16"/>
              </w:rPr>
              <w:t>Write collection, cleaning, exploratory analysis and forecast procedures.</w:t>
            </w:r>
          </w:p>
        </w:tc>
        <w:tc>
          <w:tcPr>
            <w:tcW w:type="dxa" w:w="3744"/>
            <w:vAlign w:val="center"/>
            <w:tcMar>
              <w:top w:w="90" w:type="dxa"/>
              <w:start w:w="100" w:type="dxa"/>
              <w:bottom w:w="90" w:type="dxa"/>
              <w:end w:w="100" w:type="dxa"/>
            </w:tcMar>
            <w:shd w:fill="FFFFFF"/>
          </w:tcPr>
          <w:p>
            <w:pPr>
              <w:spacing w:after="0" w:before="0"/>
            </w:pPr>
            <w:r/>
            <w:r>
              <w:rPr>
                <w:rFonts w:ascii="Arial" w:hAnsi="Arial"/>
                <w:b w:val="0"/>
                <w:color w:val="16324F"/>
                <w:sz w:val="16"/>
              </w:rPr>
              <w:t>Method workflow with explicit missing-data/outlier handling.</w:t>
            </w:r>
          </w:p>
        </w:tc>
      </w:tr>
      <w:tr>
        <w:tc>
          <w:tcPr>
            <w:tcW w:type="dxa" w:w="1512"/>
            <w:vAlign w:val="center"/>
            <w:tcMar>
              <w:top w:w="90" w:type="dxa"/>
              <w:start w:w="100" w:type="dxa"/>
              <w:bottom w:w="90" w:type="dxa"/>
              <w:end w:w="100" w:type="dxa"/>
            </w:tcMar>
            <w:shd w:fill="F5F8FA"/>
          </w:tcPr>
          <w:p>
            <w:pPr>
              <w:spacing w:after="0" w:before="0"/>
            </w:pPr>
            <w:r/>
            <w:r>
              <w:rPr>
                <w:rFonts w:ascii="Arial" w:hAnsi="Arial"/>
                <w:b w:val="0"/>
                <w:color w:val="16324F"/>
                <w:sz w:val="16"/>
              </w:rPr>
              <w:t>17 Oct 2026</w:t>
            </w:r>
          </w:p>
        </w:tc>
        <w:tc>
          <w:tcPr>
            <w:tcW w:type="dxa" w:w="3528"/>
            <w:vAlign w:val="center"/>
            <w:tcMar>
              <w:top w:w="90" w:type="dxa"/>
              <w:start w:w="100" w:type="dxa"/>
              <w:bottom w:w="90" w:type="dxa"/>
              <w:end w:w="100" w:type="dxa"/>
            </w:tcMar>
            <w:shd w:fill="F5F8FA"/>
          </w:tcPr>
          <w:p>
            <w:pPr>
              <w:spacing w:after="0" w:before="0"/>
            </w:pPr>
            <w:r/>
            <w:r>
              <w:rPr>
                <w:rFonts w:ascii="Arial" w:hAnsi="Arial"/>
                <w:b w:val="0"/>
                <w:color w:val="16324F"/>
                <w:sz w:val="16"/>
              </w:rPr>
              <w:t>Build forecast baseline example, validation plan and evaluation rubric.</w:t>
            </w:r>
          </w:p>
        </w:tc>
        <w:tc>
          <w:tcPr>
            <w:tcW w:type="dxa" w:w="3744"/>
            <w:vAlign w:val="center"/>
            <w:tcMar>
              <w:top w:w="90" w:type="dxa"/>
              <w:start w:w="100" w:type="dxa"/>
              <w:bottom w:w="90" w:type="dxa"/>
              <w:end w:w="100" w:type="dxa"/>
            </w:tcMar>
            <w:shd w:fill="F5F8FA"/>
          </w:tcPr>
          <w:p>
            <w:pPr>
              <w:spacing w:after="0" w:before="0"/>
            </w:pPr>
            <w:r/>
            <w:r>
              <w:rPr>
                <w:rFonts w:ascii="Arial" w:hAnsi="Arial"/>
                <w:b w:val="0"/>
                <w:color w:val="16324F"/>
                <w:sz w:val="16"/>
              </w:rPr>
              <w:t>Worked example; error metrics; evaluation criteria.</w:t>
            </w:r>
          </w:p>
        </w:tc>
      </w:tr>
      <w:tr>
        <w:tc>
          <w:tcPr>
            <w:tcW w:type="dxa" w:w="1512"/>
            <w:vAlign w:val="center"/>
            <w:tcMar>
              <w:top w:w="90" w:type="dxa"/>
              <w:start w:w="100" w:type="dxa"/>
              <w:bottom w:w="90" w:type="dxa"/>
              <w:end w:w="100" w:type="dxa"/>
            </w:tcMar>
            <w:shd w:fill="FFFFFF"/>
          </w:tcPr>
          <w:p>
            <w:pPr>
              <w:spacing w:after="0" w:before="0"/>
            </w:pPr>
            <w:r/>
            <w:r>
              <w:rPr>
                <w:rFonts w:ascii="Arial" w:hAnsi="Arial"/>
                <w:b w:val="0"/>
                <w:color w:val="16324F"/>
                <w:sz w:val="16"/>
              </w:rPr>
              <w:t>18 Oct 2026</w:t>
            </w:r>
          </w:p>
        </w:tc>
        <w:tc>
          <w:tcPr>
            <w:tcW w:type="dxa" w:w="3528"/>
            <w:vAlign w:val="center"/>
            <w:tcMar>
              <w:top w:w="90" w:type="dxa"/>
              <w:start w:w="100" w:type="dxa"/>
              <w:bottom w:w="90" w:type="dxa"/>
              <w:end w:w="100" w:type="dxa"/>
            </w:tcMar>
            <w:shd w:fill="FFFFFF"/>
          </w:tcPr>
          <w:p>
            <w:pPr>
              <w:spacing w:after="0" w:before="0"/>
            </w:pPr>
            <w:r/>
            <w:r>
              <w:rPr>
                <w:rFonts w:ascii="Arial" w:hAnsi="Arial"/>
                <w:b w:val="0"/>
                <w:color w:val="16324F"/>
                <w:sz w:val="16"/>
              </w:rPr>
              <w:t>Check citations, formatting, figures, timeline and completeness against brief.</w:t>
            </w:r>
          </w:p>
        </w:tc>
        <w:tc>
          <w:tcPr>
            <w:tcW w:type="dxa" w:w="3744"/>
            <w:vAlign w:val="center"/>
            <w:tcMar>
              <w:top w:w="90" w:type="dxa"/>
              <w:start w:w="100" w:type="dxa"/>
              <w:bottom w:w="90" w:type="dxa"/>
              <w:end w:w="100" w:type="dxa"/>
            </w:tcMar>
            <w:shd w:fill="FFFFFF"/>
          </w:tcPr>
          <w:p>
            <w:pPr>
              <w:spacing w:after="0" w:before="0"/>
            </w:pPr>
            <w:r/>
            <w:r>
              <w:rPr>
                <w:rFonts w:ascii="Arial" w:hAnsi="Arial"/>
                <w:b w:val="0"/>
                <w:color w:val="16324F"/>
                <w:sz w:val="16"/>
              </w:rPr>
              <w:t>Final Week 1 DOCX; all requirements traceable to a section.</w:t>
            </w:r>
          </w:p>
        </w:tc>
      </w:tr>
    </w:tbl>
    <w:p>
      <w:pPr>
        <w:spacing w:after="0"/>
      </w:pPr>
    </w:p>
    <w:p>
      <w:pPr>
        <w:pStyle w:val="Heading2"/>
        <w:keepNext/>
        <w:spacing w:before="120" w:after="60"/>
      </w:pPr>
      <w:r>
        <w:t>6.2 Follow-on project schedule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shd w:fill="16324F"/>
            <w:vAlign w:val="center"/>
            <w:tcMar>
              <w:top w:w="90" w:type="dxa"/>
              <w:start w:w="100" w:type="dxa"/>
              <w:bottom w:w="90" w:type="dxa"/>
              <w:end w:w="100" w:type="dxa"/>
            </w:tcMar>
          </w:tcPr>
          <w:p>
            <w:pPr>
              <w:spacing w:after="0" w:before="0"/>
            </w:pPr>
            <w:r/>
            <w:r>
              <w:rPr>
                <w:rFonts w:ascii="Arial" w:hAnsi="Arial"/>
                <w:b/>
                <w:color w:val="FFFFFF"/>
                <w:sz w:val="16"/>
              </w:rPr>
              <w:t>Dates</w:t>
            </w:r>
          </w:p>
        </w:tc>
        <w:tc>
          <w:tcPr>
            <w:tcW w:type="dxa" w:w="1944"/>
            <w:shd w:fill="16324F"/>
            <w:vAlign w:val="center"/>
            <w:tcMar>
              <w:top w:w="90" w:type="dxa"/>
              <w:start w:w="100" w:type="dxa"/>
              <w:bottom w:w="90" w:type="dxa"/>
              <w:end w:w="100" w:type="dxa"/>
            </w:tcMar>
          </w:tcPr>
          <w:p>
            <w:pPr>
              <w:spacing w:after="0" w:before="0"/>
            </w:pPr>
            <w:r/>
            <w:r>
              <w:rPr>
                <w:rFonts w:ascii="Arial" w:hAnsi="Arial"/>
                <w:b/>
                <w:color w:val="FFFFFF"/>
                <w:sz w:val="16"/>
              </w:rPr>
              <w:t>Phase</w:t>
            </w:r>
          </w:p>
        </w:tc>
        <w:tc>
          <w:tcPr>
            <w:tcW w:type="dxa" w:w="5040"/>
            <w:shd w:fill="16324F"/>
            <w:vAlign w:val="center"/>
            <w:tcMar>
              <w:top w:w="90" w:type="dxa"/>
              <w:start w:w="100" w:type="dxa"/>
              <w:bottom w:w="90" w:type="dxa"/>
              <w:end w:w="100" w:type="dxa"/>
            </w:tcMar>
          </w:tcPr>
          <w:p>
            <w:pPr>
              <w:spacing w:after="0" w:before="0"/>
            </w:pPr>
            <w:r/>
            <w:r>
              <w:rPr>
                <w:rFonts w:ascii="Arial" w:hAnsi="Arial"/>
                <w:b/>
                <w:color w:val="FFFFFF"/>
                <w:sz w:val="16"/>
              </w:rPr>
              <w:t>Tasks and milestone</w:t>
            </w:r>
          </w:p>
        </w:tc>
      </w:tr>
      <w:tr>
        <w:tc>
          <w:tcPr>
            <w:tcW w:type="dxa" w:w="1800"/>
            <w:vAlign w:val="center"/>
            <w:tcMar>
              <w:top w:w="90" w:type="dxa"/>
              <w:start w:w="100" w:type="dxa"/>
              <w:bottom w:w="90" w:type="dxa"/>
              <w:end w:w="100" w:type="dxa"/>
            </w:tcMar>
            <w:shd w:fill="FFFFFF"/>
          </w:tcPr>
          <w:p>
            <w:pPr>
              <w:spacing w:after="0" w:before="0"/>
            </w:pPr>
            <w:r/>
            <w:r>
              <w:rPr>
                <w:rFonts w:ascii="Arial" w:hAnsi="Arial"/>
                <w:b w:val="0"/>
                <w:color w:val="16324F"/>
                <w:sz w:val="16"/>
              </w:rPr>
              <w:t>19–23 Oct 2026</w:t>
            </w:r>
          </w:p>
        </w:tc>
        <w:tc>
          <w:tcPr>
            <w:tcW w:type="dxa" w:w="1944"/>
            <w:vAlign w:val="center"/>
            <w:tcMar>
              <w:top w:w="90" w:type="dxa"/>
              <w:start w:w="100" w:type="dxa"/>
              <w:bottom w:w="90" w:type="dxa"/>
              <w:end w:w="100" w:type="dxa"/>
            </w:tcMar>
            <w:shd w:fill="FFFFFF"/>
          </w:tcPr>
          <w:p>
            <w:pPr>
              <w:spacing w:after="0" w:before="0"/>
            </w:pPr>
            <w:r/>
            <w:r>
              <w:rPr>
                <w:rFonts w:ascii="Arial" w:hAnsi="Arial"/>
                <w:b w:val="0"/>
                <w:color w:val="16324F"/>
                <w:sz w:val="16"/>
              </w:rPr>
              <w:t>Data collection</w:t>
            </w:r>
          </w:p>
        </w:tc>
        <w:tc>
          <w:tcPr>
            <w:tcW w:type="dxa" w:w="5040"/>
            <w:vAlign w:val="center"/>
            <w:tcMar>
              <w:top w:w="90" w:type="dxa"/>
              <w:start w:w="100" w:type="dxa"/>
              <w:bottom w:w="90" w:type="dxa"/>
              <w:end w:w="100" w:type="dxa"/>
            </w:tcMar>
            <w:shd w:fill="FFFFFF"/>
          </w:tcPr>
          <w:p>
            <w:pPr>
              <w:spacing w:after="0" w:before="0"/>
            </w:pPr>
            <w:r/>
            <w:r>
              <w:rPr>
                <w:rFonts w:ascii="Arial" w:hAnsi="Arial"/>
                <w:b w:val="0"/>
                <w:color w:val="16324F"/>
                <w:sz w:val="16"/>
              </w:rPr>
              <w:t>Download raw crop/price/rainfall records; preserve original files; source register complete.</w:t>
            </w:r>
          </w:p>
        </w:tc>
      </w:tr>
      <w:tr>
        <w:tc>
          <w:tcPr>
            <w:tcW w:type="dxa" w:w="1800"/>
            <w:vAlign w:val="center"/>
            <w:tcMar>
              <w:top w:w="90" w:type="dxa"/>
              <w:start w:w="100" w:type="dxa"/>
              <w:bottom w:w="90" w:type="dxa"/>
              <w:end w:w="100" w:type="dxa"/>
            </w:tcMar>
            <w:shd w:fill="F5F8FA"/>
          </w:tcPr>
          <w:p>
            <w:pPr>
              <w:spacing w:after="0" w:before="0"/>
            </w:pPr>
            <w:r/>
            <w:r>
              <w:rPr>
                <w:rFonts w:ascii="Arial" w:hAnsi="Arial"/>
                <w:b w:val="0"/>
                <w:color w:val="16324F"/>
                <w:sz w:val="16"/>
              </w:rPr>
              <w:t>24–26 Oct 2026</w:t>
            </w:r>
          </w:p>
        </w:tc>
        <w:tc>
          <w:tcPr>
            <w:tcW w:type="dxa" w:w="1944"/>
            <w:vAlign w:val="center"/>
            <w:tcMar>
              <w:top w:w="90" w:type="dxa"/>
              <w:start w:w="100" w:type="dxa"/>
              <w:bottom w:w="90" w:type="dxa"/>
              <w:end w:w="100" w:type="dxa"/>
            </w:tcMar>
            <w:shd w:fill="F5F8FA"/>
          </w:tcPr>
          <w:p>
            <w:pPr>
              <w:spacing w:after="0" w:before="0"/>
            </w:pPr>
            <w:r/>
            <w:r>
              <w:rPr>
                <w:rFonts w:ascii="Arial" w:hAnsi="Arial"/>
                <w:b w:val="0"/>
                <w:color w:val="16324F"/>
                <w:sz w:val="16"/>
              </w:rPr>
              <w:t>Data audit and cleaning</w:t>
            </w:r>
          </w:p>
        </w:tc>
        <w:tc>
          <w:tcPr>
            <w:tcW w:type="dxa" w:w="5040"/>
            <w:vAlign w:val="center"/>
            <w:tcMar>
              <w:top w:w="90" w:type="dxa"/>
              <w:start w:w="100" w:type="dxa"/>
              <w:bottom w:w="90" w:type="dxa"/>
              <w:end w:w="100" w:type="dxa"/>
            </w:tcMar>
            <w:shd w:fill="F5F8FA"/>
          </w:tcPr>
          <w:p>
            <w:pPr>
              <w:spacing w:after="0" w:before="0"/>
            </w:pPr>
            <w:r/>
            <w:r>
              <w:rPr>
                <w:rFonts w:ascii="Arial" w:hAnsi="Arial"/>
                <w:b w:val="0"/>
                <w:color w:val="16324F"/>
                <w:sz w:val="16"/>
              </w:rPr>
              <w:t>Profile duplicates, missingness, units, dates, outliers; produce cleaned files and audit log.</w:t>
            </w:r>
          </w:p>
        </w:tc>
      </w:tr>
      <w:tr>
        <w:tc>
          <w:tcPr>
            <w:tcW w:type="dxa" w:w="1800"/>
            <w:vAlign w:val="center"/>
            <w:tcMar>
              <w:top w:w="90" w:type="dxa"/>
              <w:start w:w="100" w:type="dxa"/>
              <w:bottom w:w="90" w:type="dxa"/>
              <w:end w:w="100" w:type="dxa"/>
            </w:tcMar>
            <w:shd w:fill="FFFFFF"/>
          </w:tcPr>
          <w:p>
            <w:pPr>
              <w:spacing w:after="0" w:before="0"/>
            </w:pPr>
            <w:r/>
            <w:r>
              <w:rPr>
                <w:rFonts w:ascii="Arial" w:hAnsi="Arial"/>
                <w:b w:val="0"/>
                <w:color w:val="16324F"/>
                <w:sz w:val="16"/>
              </w:rPr>
              <w:t>27–30 Oct 2026</w:t>
            </w:r>
          </w:p>
        </w:tc>
        <w:tc>
          <w:tcPr>
            <w:tcW w:type="dxa" w:w="1944"/>
            <w:vAlign w:val="center"/>
            <w:tcMar>
              <w:top w:w="90" w:type="dxa"/>
              <w:start w:w="100" w:type="dxa"/>
              <w:bottom w:w="90" w:type="dxa"/>
              <w:end w:w="100" w:type="dxa"/>
            </w:tcMar>
            <w:shd w:fill="FFFFFF"/>
          </w:tcPr>
          <w:p>
            <w:pPr>
              <w:spacing w:after="0" w:before="0"/>
            </w:pPr>
            <w:r/>
            <w:r>
              <w:rPr>
                <w:rFonts w:ascii="Arial" w:hAnsi="Arial"/>
                <w:b w:val="0"/>
                <w:color w:val="16324F"/>
                <w:sz w:val="16"/>
              </w:rPr>
              <w:t>Exploratory data analysis</w:t>
            </w:r>
          </w:p>
        </w:tc>
        <w:tc>
          <w:tcPr>
            <w:tcW w:type="dxa" w:w="5040"/>
            <w:vAlign w:val="center"/>
            <w:tcMar>
              <w:top w:w="90" w:type="dxa"/>
              <w:start w:w="100" w:type="dxa"/>
              <w:bottom w:w="90" w:type="dxa"/>
              <w:end w:w="100" w:type="dxa"/>
            </w:tcMar>
            <w:shd w:fill="FFFFFF"/>
          </w:tcPr>
          <w:p>
            <w:pPr>
              <w:spacing w:after="0" w:before="0"/>
            </w:pPr>
            <w:r/>
            <w:r>
              <w:rPr>
                <w:rFonts w:ascii="Arial" w:hAnsi="Arial"/>
                <w:b w:val="0"/>
                <w:color w:val="16324F"/>
                <w:sz w:val="16"/>
              </w:rPr>
              <w:t>Trend summaries, price seasonality charts, arrivals/price summaries and climate alignment.</w:t>
            </w:r>
          </w:p>
        </w:tc>
      </w:tr>
      <w:tr>
        <w:tc>
          <w:tcPr>
            <w:tcW w:type="dxa" w:w="1800"/>
            <w:vAlign w:val="center"/>
            <w:tcMar>
              <w:top w:w="90" w:type="dxa"/>
              <w:start w:w="100" w:type="dxa"/>
              <w:bottom w:w="90" w:type="dxa"/>
              <w:end w:w="100" w:type="dxa"/>
            </w:tcMar>
            <w:shd w:fill="F5F8FA"/>
          </w:tcPr>
          <w:p>
            <w:pPr>
              <w:spacing w:after="0" w:before="0"/>
            </w:pPr>
            <w:r/>
            <w:r>
              <w:rPr>
                <w:rFonts w:ascii="Arial" w:hAnsi="Arial"/>
                <w:b w:val="0"/>
                <w:color w:val="16324F"/>
                <w:sz w:val="16"/>
              </w:rPr>
              <w:t>31 Oct–2 Nov 2026</w:t>
            </w:r>
          </w:p>
        </w:tc>
        <w:tc>
          <w:tcPr>
            <w:tcW w:type="dxa" w:w="1944"/>
            <w:vAlign w:val="center"/>
            <w:tcMar>
              <w:top w:w="90" w:type="dxa"/>
              <w:start w:w="100" w:type="dxa"/>
              <w:bottom w:w="90" w:type="dxa"/>
              <w:end w:w="100" w:type="dxa"/>
            </w:tcMar>
            <w:shd w:fill="F5F8FA"/>
          </w:tcPr>
          <w:p>
            <w:pPr>
              <w:spacing w:after="0" w:before="0"/>
            </w:pPr>
            <w:r/>
            <w:r>
              <w:rPr>
                <w:rFonts w:ascii="Arial" w:hAnsi="Arial"/>
                <w:b w:val="0"/>
                <w:color w:val="16324F"/>
                <w:sz w:val="16"/>
              </w:rPr>
              <w:t>Forecasting and validation</w:t>
            </w:r>
          </w:p>
        </w:tc>
        <w:tc>
          <w:tcPr>
            <w:tcW w:type="dxa" w:w="5040"/>
            <w:vAlign w:val="center"/>
            <w:tcMar>
              <w:top w:w="90" w:type="dxa"/>
              <w:start w:w="100" w:type="dxa"/>
              <w:bottom w:w="90" w:type="dxa"/>
              <w:end w:w="100" w:type="dxa"/>
            </w:tcMar>
            <w:shd w:fill="F5F8FA"/>
          </w:tcPr>
          <w:p>
            <w:pPr>
              <w:spacing w:after="0" w:before="0"/>
            </w:pPr>
            <w:r/>
            <w:r>
              <w:rPr>
                <w:rFonts w:ascii="Arial" w:hAnsi="Arial"/>
                <w:b w:val="0"/>
                <w:color w:val="16324F"/>
                <w:sz w:val="16"/>
              </w:rPr>
              <w:t>Build baselines; time-based evaluation; calculate MAE/RMSE; compare against simple benchmarks.</w:t>
            </w:r>
          </w:p>
        </w:tc>
      </w:tr>
      <w:tr>
        <w:tc>
          <w:tcPr>
            <w:tcW w:type="dxa" w:w="1800"/>
            <w:vAlign w:val="center"/>
            <w:tcMar>
              <w:top w:w="90" w:type="dxa"/>
              <w:start w:w="100" w:type="dxa"/>
              <w:bottom w:w="90" w:type="dxa"/>
              <w:end w:w="100" w:type="dxa"/>
            </w:tcMar>
            <w:shd w:fill="FFFFFF"/>
          </w:tcPr>
          <w:p>
            <w:pPr>
              <w:spacing w:after="0" w:before="0"/>
            </w:pPr>
            <w:r/>
            <w:r>
              <w:rPr>
                <w:rFonts w:ascii="Arial" w:hAnsi="Arial"/>
                <w:b w:val="0"/>
                <w:color w:val="16324F"/>
                <w:sz w:val="16"/>
              </w:rPr>
              <w:t>3–5 Nov 2026</w:t>
            </w:r>
          </w:p>
        </w:tc>
        <w:tc>
          <w:tcPr>
            <w:tcW w:type="dxa" w:w="1944"/>
            <w:vAlign w:val="center"/>
            <w:tcMar>
              <w:top w:w="90" w:type="dxa"/>
              <w:start w:w="100" w:type="dxa"/>
              <w:bottom w:w="90" w:type="dxa"/>
              <w:end w:w="100" w:type="dxa"/>
            </w:tcMar>
            <w:shd w:fill="FFFFFF"/>
          </w:tcPr>
          <w:p>
            <w:pPr>
              <w:spacing w:after="0" w:before="0"/>
            </w:pPr>
            <w:r/>
            <w:r>
              <w:rPr>
                <w:rFonts w:ascii="Arial" w:hAnsi="Arial"/>
                <w:b w:val="0"/>
                <w:color w:val="16324F"/>
                <w:sz w:val="16"/>
              </w:rPr>
              <w:t>Interpretation</w:t>
            </w:r>
          </w:p>
        </w:tc>
        <w:tc>
          <w:tcPr>
            <w:tcW w:type="dxa" w:w="5040"/>
            <w:vAlign w:val="center"/>
            <w:tcMar>
              <w:top w:w="90" w:type="dxa"/>
              <w:start w:w="100" w:type="dxa"/>
              <w:bottom w:w="90" w:type="dxa"/>
              <w:end w:w="100" w:type="dxa"/>
            </w:tcMar>
            <w:shd w:fill="FFFFFF"/>
          </w:tcPr>
          <w:p>
            <w:pPr>
              <w:spacing w:after="0" w:before="0"/>
            </w:pPr>
            <w:r/>
            <w:r>
              <w:rPr>
                <w:rFonts w:ascii="Arial" w:hAnsi="Arial"/>
                <w:b w:val="0"/>
                <w:color w:val="16324F"/>
                <w:sz w:val="16"/>
              </w:rPr>
              <w:t>Review evidence, likely explanations, uncertainties, practical relevance and limitations.</w:t>
            </w:r>
          </w:p>
        </w:tc>
      </w:tr>
      <w:tr>
        <w:tc>
          <w:tcPr>
            <w:tcW w:type="dxa" w:w="1800"/>
            <w:vAlign w:val="center"/>
            <w:tcMar>
              <w:top w:w="90" w:type="dxa"/>
              <w:start w:w="100" w:type="dxa"/>
              <w:bottom w:w="90" w:type="dxa"/>
              <w:end w:w="100" w:type="dxa"/>
            </w:tcMar>
            <w:shd w:fill="F5F8FA"/>
          </w:tcPr>
          <w:p>
            <w:pPr>
              <w:spacing w:after="0" w:before="0"/>
            </w:pPr>
            <w:r/>
            <w:r>
              <w:rPr>
                <w:rFonts w:ascii="Arial" w:hAnsi="Arial"/>
                <w:b w:val="0"/>
                <w:color w:val="16324F"/>
                <w:sz w:val="16"/>
              </w:rPr>
              <w:t>6–8 Nov 2026</w:t>
            </w:r>
          </w:p>
        </w:tc>
        <w:tc>
          <w:tcPr>
            <w:tcW w:type="dxa" w:w="1944"/>
            <w:vAlign w:val="center"/>
            <w:tcMar>
              <w:top w:w="90" w:type="dxa"/>
              <w:start w:w="100" w:type="dxa"/>
              <w:bottom w:w="90" w:type="dxa"/>
              <w:end w:w="100" w:type="dxa"/>
            </w:tcMar>
            <w:shd w:fill="F5F8FA"/>
          </w:tcPr>
          <w:p>
            <w:pPr>
              <w:spacing w:after="0" w:before="0"/>
            </w:pPr>
            <w:r/>
            <w:r>
              <w:rPr>
                <w:rFonts w:ascii="Arial" w:hAnsi="Arial"/>
                <w:b w:val="0"/>
                <w:color w:val="16324F"/>
                <w:sz w:val="16"/>
              </w:rPr>
              <w:t>Final packaging</w:t>
            </w:r>
          </w:p>
        </w:tc>
        <w:tc>
          <w:tcPr>
            <w:tcW w:type="dxa" w:w="5040"/>
            <w:vAlign w:val="center"/>
            <w:tcMar>
              <w:top w:w="90" w:type="dxa"/>
              <w:start w:w="100" w:type="dxa"/>
              <w:bottom w:w="90" w:type="dxa"/>
              <w:end w:w="100" w:type="dxa"/>
            </w:tcMar>
            <w:shd w:fill="F5F8FA"/>
          </w:tcPr>
          <w:p>
            <w:pPr>
              <w:spacing w:after="0" w:before="0"/>
            </w:pPr>
            <w:r/>
            <w:r>
              <w:rPr>
                <w:rFonts w:ascii="Arial" w:hAnsi="Arial"/>
                <w:b w:val="0"/>
                <w:color w:val="16324F"/>
                <w:sz w:val="16"/>
              </w:rPr>
              <w:t>Final report, reproducible code/notebook, data dictionary, charts, references and presentation.</w:t>
            </w:r>
          </w:p>
        </w:tc>
      </w:tr>
    </w:tbl>
    <w:p>
      <w:pPr>
        <w:spacing w:after="0"/>
      </w:pPr>
    </w:p>
    <w:p>
      <w:pPr>
        <w:pStyle w:val="Heading1"/>
        <w:keepNext/>
        <w:pageBreakBefore/>
        <w:spacing w:before="180" w:after="100"/>
      </w:pPr>
      <w:r>
        <w:t>7. Quality Assurance, Risks and Limitations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88"/>
            <w:shd w:fill="16324F"/>
            <w:vAlign w:val="center"/>
            <w:tcMar>
              <w:top w:w="90" w:type="dxa"/>
              <w:start w:w="100" w:type="dxa"/>
              <w:bottom w:w="90" w:type="dxa"/>
              <w:end w:w="100" w:type="dxa"/>
            </w:tcMar>
          </w:tcPr>
          <w:p>
            <w:pPr>
              <w:spacing w:after="0" w:before="0"/>
            </w:pPr>
            <w:r/>
            <w:r>
              <w:rPr>
                <w:rFonts w:ascii="Arial" w:hAnsi="Arial"/>
                <w:b/>
                <w:color w:val="FFFFFF"/>
                <w:sz w:val="15"/>
              </w:rPr>
              <w:t>Risk</w:t>
            </w:r>
          </w:p>
        </w:tc>
        <w:tc>
          <w:tcPr>
            <w:tcW w:type="dxa" w:w="2592"/>
            <w:shd w:fill="16324F"/>
            <w:vAlign w:val="center"/>
            <w:tcMar>
              <w:top w:w="90" w:type="dxa"/>
              <w:start w:w="100" w:type="dxa"/>
              <w:bottom w:w="90" w:type="dxa"/>
              <w:end w:w="100" w:type="dxa"/>
            </w:tcMar>
          </w:tcPr>
          <w:p>
            <w:pPr>
              <w:spacing w:after="0" w:before="0"/>
            </w:pPr>
            <w:r/>
            <w:r>
              <w:rPr>
                <w:rFonts w:ascii="Arial" w:hAnsi="Arial"/>
                <w:b/>
                <w:color w:val="FFFFFF"/>
                <w:sz w:val="15"/>
              </w:rPr>
              <w:t>Potential effect</w:t>
            </w:r>
          </w:p>
        </w:tc>
        <w:tc>
          <w:tcPr>
            <w:tcW w:type="dxa" w:w="4104"/>
            <w:shd w:fill="16324F"/>
            <w:vAlign w:val="center"/>
            <w:tcMar>
              <w:top w:w="90" w:type="dxa"/>
              <w:start w:w="100" w:type="dxa"/>
              <w:bottom w:w="90" w:type="dxa"/>
              <w:end w:w="100" w:type="dxa"/>
            </w:tcMar>
          </w:tcPr>
          <w:p>
            <w:pPr>
              <w:spacing w:after="0" w:before="0"/>
            </w:pPr>
            <w:r/>
            <w:r>
              <w:rPr>
                <w:rFonts w:ascii="Arial" w:hAnsi="Arial"/>
                <w:b/>
                <w:color w:val="FFFFFF"/>
                <w:sz w:val="15"/>
              </w:rPr>
              <w:t>Mitigation / decision rule</w:t>
            </w:r>
          </w:p>
        </w:tc>
      </w:tr>
      <w:tr>
        <w:tc>
          <w:tcPr>
            <w:tcW w:type="dxa" w:w="2088"/>
            <w:vAlign w:val="center"/>
            <w:tcMar>
              <w:top w:w="90" w:type="dxa"/>
              <w:start w:w="100" w:type="dxa"/>
              <w:bottom w:w="90" w:type="dxa"/>
              <w:end w:w="100" w:type="dxa"/>
            </w:tcMar>
            <w:shd w:fill="FFFFFF"/>
          </w:tcPr>
          <w:p>
            <w:pPr>
              <w:spacing w:after="0" w:before="0"/>
            </w:pPr>
            <w:r/>
            <w:r>
              <w:rPr>
                <w:rFonts w:ascii="Arial" w:hAnsi="Arial"/>
                <w:b w:val="0"/>
                <w:color w:val="16324F"/>
                <w:sz w:val="15"/>
              </w:rPr>
              <w:t>Missing market-day records</w:t>
            </w:r>
          </w:p>
        </w:tc>
        <w:tc>
          <w:tcPr>
            <w:tcW w:type="dxa" w:w="2592"/>
            <w:vAlign w:val="center"/>
            <w:tcMar>
              <w:top w:w="90" w:type="dxa"/>
              <w:start w:w="100" w:type="dxa"/>
              <w:bottom w:w="90" w:type="dxa"/>
              <w:end w:w="100" w:type="dxa"/>
            </w:tcMar>
            <w:shd w:fill="FFFFFF"/>
          </w:tcPr>
          <w:p>
            <w:pPr>
              <w:spacing w:after="0" w:before="0"/>
            </w:pPr>
            <w:r/>
            <w:r>
              <w:rPr>
                <w:rFonts w:ascii="Arial" w:hAnsi="Arial"/>
                <w:b w:val="0"/>
                <w:color w:val="16324F"/>
                <w:sz w:val="15"/>
              </w:rPr>
              <w:t>False apparent price spikes or incomplete monthly averages.</w:t>
            </w:r>
          </w:p>
        </w:tc>
        <w:tc>
          <w:tcPr>
            <w:tcW w:type="dxa" w:w="4104"/>
            <w:vAlign w:val="center"/>
            <w:tcMar>
              <w:top w:w="90" w:type="dxa"/>
              <w:start w:w="100" w:type="dxa"/>
              <w:bottom w:w="90" w:type="dxa"/>
              <w:end w:w="100" w:type="dxa"/>
            </w:tcMar>
            <w:shd w:fill="FFFFFF"/>
          </w:tcPr>
          <w:p>
            <w:pPr>
              <w:spacing w:after="0" w:before="0"/>
            </w:pPr>
            <w:r/>
            <w:r>
              <w:rPr>
                <w:rFonts w:ascii="Arial" w:hAnsi="Arial"/>
                <w:b w:val="0"/>
                <w:color w:val="16324F"/>
                <w:sz w:val="15"/>
              </w:rPr>
              <w:t>Report observation counts and missing rate; suppress or flag months below a pre-set coverage threshold; do not fill missing prices with zero.</w:t>
            </w:r>
          </w:p>
        </w:tc>
      </w:tr>
      <w:tr>
        <w:tc>
          <w:tcPr>
            <w:tcW w:type="dxa" w:w="2088"/>
            <w:vAlign w:val="center"/>
            <w:tcMar>
              <w:top w:w="90" w:type="dxa"/>
              <w:start w:w="100" w:type="dxa"/>
              <w:bottom w:w="90" w:type="dxa"/>
              <w:end w:w="100" w:type="dxa"/>
            </w:tcMar>
            <w:shd w:fill="F5F8FA"/>
          </w:tcPr>
          <w:p>
            <w:pPr>
              <w:spacing w:after="0" w:before="0"/>
            </w:pPr>
            <w:r/>
            <w:r>
              <w:rPr>
                <w:rFonts w:ascii="Arial" w:hAnsi="Arial"/>
                <w:b w:val="0"/>
                <w:color w:val="16324F"/>
                <w:sz w:val="15"/>
              </w:rPr>
              <w:t>Provisional crop figures</w:t>
            </w:r>
          </w:p>
        </w:tc>
        <w:tc>
          <w:tcPr>
            <w:tcW w:type="dxa" w:w="2592"/>
            <w:vAlign w:val="center"/>
            <w:tcMar>
              <w:top w:w="90" w:type="dxa"/>
              <w:start w:w="100" w:type="dxa"/>
              <w:bottom w:w="90" w:type="dxa"/>
              <w:end w:w="100" w:type="dxa"/>
            </w:tcMar>
            <w:shd w:fill="F5F8FA"/>
          </w:tcPr>
          <w:p>
            <w:pPr>
              <w:spacing w:after="0" w:before="0"/>
            </w:pPr>
            <w:r/>
            <w:r>
              <w:rPr>
                <w:rFonts w:ascii="Arial" w:hAnsi="Arial"/>
                <w:b w:val="0"/>
                <w:color w:val="16324F"/>
                <w:sz w:val="15"/>
              </w:rPr>
              <w:t>Trend and forecast target may be revised.</w:t>
            </w:r>
          </w:p>
        </w:tc>
        <w:tc>
          <w:tcPr>
            <w:tcW w:type="dxa" w:w="4104"/>
            <w:vAlign w:val="center"/>
            <w:tcMar>
              <w:top w:w="90" w:type="dxa"/>
              <w:start w:w="100" w:type="dxa"/>
              <w:bottom w:w="90" w:type="dxa"/>
              <w:end w:w="100" w:type="dxa"/>
            </w:tcMar>
            <w:shd w:fill="F5F8FA"/>
          </w:tcPr>
          <w:p>
            <w:pPr>
              <w:spacing w:after="0" w:before="0"/>
            </w:pPr>
            <w:r/>
            <w:r>
              <w:rPr>
                <w:rFonts w:ascii="Arial" w:hAnsi="Arial"/>
                <w:b w:val="0"/>
                <w:color w:val="16324F"/>
                <w:sz w:val="15"/>
              </w:rPr>
              <w:t>Label advance estimates; update the series when final estimates appear; report version/date.</w:t>
            </w:r>
          </w:p>
        </w:tc>
      </w:tr>
      <w:tr>
        <w:tc>
          <w:tcPr>
            <w:tcW w:type="dxa" w:w="2088"/>
            <w:vAlign w:val="center"/>
            <w:tcMar>
              <w:top w:w="90" w:type="dxa"/>
              <w:start w:w="100" w:type="dxa"/>
              <w:bottom w:w="90" w:type="dxa"/>
              <w:end w:w="100" w:type="dxa"/>
            </w:tcMar>
            <w:shd w:fill="FFFFFF"/>
          </w:tcPr>
          <w:p>
            <w:pPr>
              <w:spacing w:after="0" w:before="0"/>
            </w:pPr>
            <w:r/>
            <w:r>
              <w:rPr>
                <w:rFonts w:ascii="Arial" w:hAnsi="Arial"/>
                <w:b w:val="0"/>
                <w:color w:val="16324F"/>
                <w:sz w:val="15"/>
              </w:rPr>
              <w:t>Different units or definitions</w:t>
            </w:r>
          </w:p>
        </w:tc>
        <w:tc>
          <w:tcPr>
            <w:tcW w:type="dxa" w:w="2592"/>
            <w:vAlign w:val="center"/>
            <w:tcMar>
              <w:top w:w="90" w:type="dxa"/>
              <w:start w:w="100" w:type="dxa"/>
              <w:bottom w:w="90" w:type="dxa"/>
              <w:end w:w="100" w:type="dxa"/>
            </w:tcMar>
            <w:shd w:fill="FFFFFF"/>
          </w:tcPr>
          <w:p>
            <w:pPr>
              <w:spacing w:after="0" w:before="0"/>
            </w:pPr>
            <w:r/>
            <w:r>
              <w:rPr>
                <w:rFonts w:ascii="Arial" w:hAnsi="Arial"/>
                <w:b w:val="0"/>
                <w:color w:val="16324F"/>
                <w:sz w:val="15"/>
              </w:rPr>
              <w:t>Invalid joins and misleading comparisons.</w:t>
            </w:r>
          </w:p>
        </w:tc>
        <w:tc>
          <w:tcPr>
            <w:tcW w:type="dxa" w:w="4104"/>
            <w:vAlign w:val="center"/>
            <w:tcMar>
              <w:top w:w="90" w:type="dxa"/>
              <w:start w:w="100" w:type="dxa"/>
              <w:bottom w:w="90" w:type="dxa"/>
              <w:end w:w="100" w:type="dxa"/>
            </w:tcMar>
            <w:shd w:fill="FFFFFF"/>
          </w:tcPr>
          <w:p>
            <w:pPr>
              <w:spacing w:after="0" w:before="0"/>
            </w:pPr>
            <w:r/>
            <w:r>
              <w:rPr>
                <w:rFonts w:ascii="Arial" w:hAnsi="Arial"/>
                <w:b w:val="0"/>
                <w:color w:val="16324F"/>
                <w:sz w:val="15"/>
              </w:rPr>
              <w:t>Use a data dictionary; retain original units; convert only through documented factors; check source metadata.</w:t>
            </w:r>
          </w:p>
        </w:tc>
      </w:tr>
      <w:tr>
        <w:tc>
          <w:tcPr>
            <w:tcW w:type="dxa" w:w="2088"/>
            <w:vAlign w:val="center"/>
            <w:tcMar>
              <w:top w:w="90" w:type="dxa"/>
              <w:start w:w="100" w:type="dxa"/>
              <w:bottom w:w="90" w:type="dxa"/>
              <w:end w:w="100" w:type="dxa"/>
            </w:tcMar>
            <w:shd w:fill="F5F8FA"/>
          </w:tcPr>
          <w:p>
            <w:pPr>
              <w:spacing w:after="0" w:before="0"/>
            </w:pPr>
            <w:r/>
            <w:r>
              <w:rPr>
                <w:rFonts w:ascii="Arial" w:hAnsi="Arial"/>
                <w:b w:val="0"/>
                <w:color w:val="16324F"/>
                <w:sz w:val="15"/>
              </w:rPr>
              <w:t>Geographic mismatch</w:t>
            </w:r>
          </w:p>
        </w:tc>
        <w:tc>
          <w:tcPr>
            <w:tcW w:type="dxa" w:w="2592"/>
            <w:vAlign w:val="center"/>
            <w:tcMar>
              <w:top w:w="90" w:type="dxa"/>
              <w:start w:w="100" w:type="dxa"/>
              <w:bottom w:w="90" w:type="dxa"/>
              <w:end w:w="100" w:type="dxa"/>
            </w:tcMar>
            <w:shd w:fill="F5F8FA"/>
          </w:tcPr>
          <w:p>
            <w:pPr>
              <w:spacing w:after="0" w:before="0"/>
            </w:pPr>
            <w:r/>
            <w:r>
              <w:rPr>
                <w:rFonts w:ascii="Arial" w:hAnsi="Arial"/>
                <w:b w:val="0"/>
                <w:color w:val="16324F"/>
                <w:sz w:val="15"/>
              </w:rPr>
              <w:t>National rainfall or yields may be wrongly used to explain a local market price.</w:t>
            </w:r>
          </w:p>
        </w:tc>
        <w:tc>
          <w:tcPr>
            <w:tcW w:type="dxa" w:w="4104"/>
            <w:vAlign w:val="center"/>
            <w:tcMar>
              <w:top w:w="90" w:type="dxa"/>
              <w:start w:w="100" w:type="dxa"/>
              <w:bottom w:w="90" w:type="dxa"/>
              <w:end w:w="100" w:type="dxa"/>
            </w:tcMar>
            <w:shd w:fill="F5F8FA"/>
          </w:tcPr>
          <w:p>
            <w:pPr>
              <w:spacing w:after="0" w:before="0"/>
            </w:pPr>
            <w:r/>
            <w:r>
              <w:rPr>
                <w:rFonts w:ascii="Arial" w:hAnsi="Arial"/>
                <w:b w:val="0"/>
                <w:color w:val="16324F"/>
                <w:sz w:val="15"/>
              </w:rPr>
              <w:t>Align state/district/market level where possible; if not possible, treat the broader indicator as context only.</w:t>
            </w:r>
          </w:p>
        </w:tc>
      </w:tr>
      <w:tr>
        <w:tc>
          <w:tcPr>
            <w:tcW w:type="dxa" w:w="2088"/>
            <w:vAlign w:val="center"/>
            <w:tcMar>
              <w:top w:w="90" w:type="dxa"/>
              <w:start w:w="100" w:type="dxa"/>
              <w:bottom w:w="90" w:type="dxa"/>
              <w:end w:w="100" w:type="dxa"/>
            </w:tcMar>
            <w:shd w:fill="FFFFFF"/>
          </w:tcPr>
          <w:p>
            <w:pPr>
              <w:spacing w:after="0" w:before="0"/>
            </w:pPr>
            <w:r/>
            <w:r>
              <w:rPr>
                <w:rFonts w:ascii="Arial" w:hAnsi="Arial"/>
                <w:b w:val="0"/>
                <w:color w:val="16324F"/>
                <w:sz w:val="15"/>
              </w:rPr>
              <w:t>Outliers and data entry errors</w:t>
            </w:r>
          </w:p>
        </w:tc>
        <w:tc>
          <w:tcPr>
            <w:tcW w:type="dxa" w:w="2592"/>
            <w:vAlign w:val="center"/>
            <w:tcMar>
              <w:top w:w="90" w:type="dxa"/>
              <w:start w:w="100" w:type="dxa"/>
              <w:bottom w:w="90" w:type="dxa"/>
              <w:end w:w="100" w:type="dxa"/>
            </w:tcMar>
            <w:shd w:fill="FFFFFF"/>
          </w:tcPr>
          <w:p>
            <w:pPr>
              <w:spacing w:after="0" w:before="0"/>
            </w:pPr>
            <w:r/>
            <w:r>
              <w:rPr>
                <w:rFonts w:ascii="Arial" w:hAnsi="Arial"/>
                <w:b w:val="0"/>
                <w:color w:val="16324F"/>
                <w:sz w:val="15"/>
              </w:rPr>
              <w:t>Distorted means or forecasts.</w:t>
            </w:r>
          </w:p>
        </w:tc>
        <w:tc>
          <w:tcPr>
            <w:tcW w:type="dxa" w:w="4104"/>
            <w:vAlign w:val="center"/>
            <w:tcMar>
              <w:top w:w="90" w:type="dxa"/>
              <w:start w:w="100" w:type="dxa"/>
              <w:bottom w:w="90" w:type="dxa"/>
              <w:end w:w="100" w:type="dxa"/>
            </w:tcMar>
            <w:shd w:fill="FFFFFF"/>
          </w:tcPr>
          <w:p>
            <w:pPr>
              <w:spacing w:after="0" w:before="0"/>
            </w:pPr>
            <w:r/>
            <w:r>
              <w:rPr>
                <w:rFonts w:ascii="Arial" w:hAnsi="Arial"/>
                <w:b w:val="0"/>
                <w:color w:val="16324F"/>
                <w:sz w:val="15"/>
              </w:rPr>
              <w:t>Flag extreme values; compare source pages and adjacent dates; correct only with evidence and preserve a correction log.</w:t>
            </w:r>
          </w:p>
        </w:tc>
      </w:tr>
      <w:tr>
        <w:tc>
          <w:tcPr>
            <w:tcW w:type="dxa" w:w="2088"/>
            <w:vAlign w:val="center"/>
            <w:tcMar>
              <w:top w:w="90" w:type="dxa"/>
              <w:start w:w="100" w:type="dxa"/>
              <w:bottom w:w="90" w:type="dxa"/>
              <w:end w:w="100" w:type="dxa"/>
            </w:tcMar>
            <w:shd w:fill="F5F8FA"/>
          </w:tcPr>
          <w:p>
            <w:pPr>
              <w:spacing w:after="0" w:before="0"/>
            </w:pPr>
            <w:r/>
            <w:r>
              <w:rPr>
                <w:rFonts w:ascii="Arial" w:hAnsi="Arial"/>
                <w:b w:val="0"/>
                <w:color w:val="16324F"/>
                <w:sz w:val="15"/>
              </w:rPr>
              <w:t>Short time series</w:t>
            </w:r>
          </w:p>
        </w:tc>
        <w:tc>
          <w:tcPr>
            <w:tcW w:type="dxa" w:w="2592"/>
            <w:vAlign w:val="center"/>
            <w:tcMar>
              <w:top w:w="90" w:type="dxa"/>
              <w:start w:w="100" w:type="dxa"/>
              <w:bottom w:w="90" w:type="dxa"/>
              <w:end w:w="100" w:type="dxa"/>
            </w:tcMar>
            <w:shd w:fill="F5F8FA"/>
          </w:tcPr>
          <w:p>
            <w:pPr>
              <w:spacing w:after="0" w:before="0"/>
            </w:pPr>
            <w:r/>
            <w:r>
              <w:rPr>
                <w:rFonts w:ascii="Arial" w:hAnsi="Arial"/>
                <w:b w:val="0"/>
                <w:color w:val="16324F"/>
                <w:sz w:val="15"/>
              </w:rPr>
              <w:t>Unstable forecast rankings and overfitting.</w:t>
            </w:r>
          </w:p>
        </w:tc>
        <w:tc>
          <w:tcPr>
            <w:tcW w:type="dxa" w:w="4104"/>
            <w:vAlign w:val="center"/>
            <w:tcMar>
              <w:top w:w="90" w:type="dxa"/>
              <w:start w:w="100" w:type="dxa"/>
              <w:bottom w:w="90" w:type="dxa"/>
              <w:end w:w="100" w:type="dxa"/>
            </w:tcMar>
            <w:shd w:fill="F5F8FA"/>
          </w:tcPr>
          <w:p>
            <w:pPr>
              <w:spacing w:after="0" w:before="0"/>
            </w:pPr>
            <w:r/>
            <w:r>
              <w:rPr>
                <w:rFonts w:ascii="Arial" w:hAnsi="Arial"/>
                <w:b w:val="0"/>
                <w:color w:val="16324F"/>
                <w:sz w:val="15"/>
              </w:rPr>
              <w:t>Start with simple baselines; use longer history; state that short-run results are exploratory.</w:t>
            </w:r>
          </w:p>
        </w:tc>
      </w:tr>
      <w:tr>
        <w:tc>
          <w:tcPr>
            <w:tcW w:type="dxa" w:w="2088"/>
            <w:vAlign w:val="center"/>
            <w:tcMar>
              <w:top w:w="90" w:type="dxa"/>
              <w:start w:w="100" w:type="dxa"/>
              <w:bottom w:w="90" w:type="dxa"/>
              <w:end w:w="100" w:type="dxa"/>
            </w:tcMar>
            <w:shd w:fill="FFFFFF"/>
          </w:tcPr>
          <w:p>
            <w:pPr>
              <w:spacing w:after="0" w:before="0"/>
            </w:pPr>
            <w:r/>
            <w:r>
              <w:rPr>
                <w:rFonts w:ascii="Arial" w:hAnsi="Arial"/>
                <w:b w:val="0"/>
                <w:color w:val="16324F"/>
                <w:sz w:val="15"/>
              </w:rPr>
              <w:t>Correlation mistaken for causation</w:t>
            </w:r>
          </w:p>
        </w:tc>
        <w:tc>
          <w:tcPr>
            <w:tcW w:type="dxa" w:w="2592"/>
            <w:vAlign w:val="center"/>
            <w:tcMar>
              <w:top w:w="90" w:type="dxa"/>
              <w:start w:w="100" w:type="dxa"/>
              <w:bottom w:w="90" w:type="dxa"/>
              <w:end w:w="100" w:type="dxa"/>
            </w:tcMar>
            <w:shd w:fill="FFFFFF"/>
          </w:tcPr>
          <w:p>
            <w:pPr>
              <w:spacing w:after="0" w:before="0"/>
            </w:pPr>
            <w:r/>
            <w:r>
              <w:rPr>
                <w:rFonts w:ascii="Arial" w:hAnsi="Arial"/>
                <w:b w:val="0"/>
                <w:color w:val="16324F"/>
                <w:sz w:val="15"/>
              </w:rPr>
              <w:t>Overstated claims about climate, prices or policy.</w:t>
            </w:r>
          </w:p>
        </w:tc>
        <w:tc>
          <w:tcPr>
            <w:tcW w:type="dxa" w:w="4104"/>
            <w:vAlign w:val="center"/>
            <w:tcMar>
              <w:top w:w="90" w:type="dxa"/>
              <w:start w:w="100" w:type="dxa"/>
              <w:bottom w:w="90" w:type="dxa"/>
              <w:end w:w="100" w:type="dxa"/>
            </w:tcMar>
            <w:shd w:fill="FFFFFF"/>
          </w:tcPr>
          <w:p>
            <w:pPr>
              <w:spacing w:after="0" w:before="0"/>
            </w:pPr>
            <w:r/>
            <w:r>
              <w:rPr>
                <w:rFonts w:ascii="Arial" w:hAnsi="Arial"/>
                <w:b w:val="0"/>
                <w:color w:val="16324F"/>
                <w:sz w:val="15"/>
              </w:rPr>
              <w:t>Use cautious language; consider alternative factors and confounders; causal claims need an appropriate design.</w:t>
            </w:r>
          </w:p>
        </w:tc>
      </w:tr>
      <w:tr>
        <w:tc>
          <w:tcPr>
            <w:tcW w:type="dxa" w:w="2088"/>
            <w:vAlign w:val="center"/>
            <w:tcMar>
              <w:top w:w="90" w:type="dxa"/>
              <w:start w:w="100" w:type="dxa"/>
              <w:bottom w:w="90" w:type="dxa"/>
              <w:end w:w="100" w:type="dxa"/>
            </w:tcMar>
            <w:shd w:fill="F5F8FA"/>
          </w:tcPr>
          <w:p>
            <w:pPr>
              <w:spacing w:after="0" w:before="0"/>
            </w:pPr>
            <w:r/>
            <w:r>
              <w:rPr>
                <w:rFonts w:ascii="Arial" w:hAnsi="Arial"/>
                <w:b w:val="0"/>
                <w:color w:val="16324F"/>
                <w:sz w:val="15"/>
              </w:rPr>
              <w:t>Unmeasured resource use/costs</w:t>
            </w:r>
          </w:p>
        </w:tc>
        <w:tc>
          <w:tcPr>
            <w:tcW w:type="dxa" w:w="2592"/>
            <w:vAlign w:val="center"/>
            <w:tcMar>
              <w:top w:w="90" w:type="dxa"/>
              <w:start w:w="100" w:type="dxa"/>
              <w:bottom w:w="90" w:type="dxa"/>
              <w:end w:w="100" w:type="dxa"/>
            </w:tcMar>
            <w:shd w:fill="F5F8FA"/>
          </w:tcPr>
          <w:p>
            <w:pPr>
              <w:spacing w:after="0" w:before="0"/>
            </w:pPr>
            <w:r/>
            <w:r>
              <w:rPr>
                <w:rFonts w:ascii="Arial" w:hAnsi="Arial"/>
                <w:b w:val="0"/>
                <w:color w:val="16324F"/>
                <w:sz w:val="15"/>
              </w:rPr>
              <w:t>Cannot calculate farm water productivity or net profit reliably.</w:t>
            </w:r>
          </w:p>
        </w:tc>
        <w:tc>
          <w:tcPr>
            <w:tcW w:type="dxa" w:w="4104"/>
            <w:vAlign w:val="center"/>
            <w:tcMar>
              <w:top w:w="90" w:type="dxa"/>
              <w:start w:w="100" w:type="dxa"/>
              <w:bottom w:w="90" w:type="dxa"/>
              <w:end w:w="100" w:type="dxa"/>
            </w:tcMar>
            <w:shd w:fill="F5F8FA"/>
          </w:tcPr>
          <w:p>
            <w:pPr>
              <w:spacing w:after="0" w:before="0"/>
            </w:pPr>
            <w:r/>
            <w:r>
              <w:rPr>
                <w:rFonts w:ascii="Arial" w:hAnsi="Arial"/>
                <w:b w:val="0"/>
                <w:color w:val="16324F"/>
                <w:sz w:val="15"/>
              </w:rPr>
              <w:t>Do not infer from national proxies; seek matching input/water/cost data or list the metric as future work.</w:t>
            </w:r>
          </w:p>
        </w:tc>
      </w:tr>
    </w:tbl>
    <w:p>
      <w:pPr>
        <w:spacing w:after="0"/>
      </w:pPr>
    </w:p>
    <w:p>
      <w:pPr>
        <w:pStyle w:val="Heading2"/>
        <w:keepNext/>
        <w:spacing w:before="120" w:after="60"/>
      </w:pPr>
      <w:r>
        <w:t>7.1 Minimum data-quality checks</w:t>
      </w:r>
    </w:p>
    <w:p>
      <w:pPr>
        <w:pStyle w:val="ListBullet"/>
        <w:keepLines/>
        <w:spacing w:after="60"/>
      </w:pPr>
      <w:r>
        <w:t>Completeness: report non-missing percentage by field and time period.</w:t>
      </w:r>
    </w:p>
    <w:p>
      <w:pPr>
        <w:pStyle w:val="ListBullet"/>
        <w:keepLines/>
        <w:spacing w:after="60"/>
      </w:pPr>
      <w:r>
        <w:t>Validity: check numeric ranges, date formats, positive/negative values where prohibited by definitions, and allowed categories.</w:t>
      </w:r>
    </w:p>
    <w:p>
      <w:pPr>
        <w:pStyle w:val="ListBullet"/>
        <w:keepLines/>
        <w:spacing w:after="60"/>
      </w:pPr>
      <w:r>
        <w:t>Uniqueness: check the chosen record key for duplicate rows and conflicting records.</w:t>
      </w:r>
    </w:p>
    <w:p>
      <w:pPr>
        <w:pStyle w:val="ListBullet"/>
        <w:keepLines/>
        <w:spacing w:after="60"/>
      </w:pPr>
      <w:r>
        <w:t>Consistency: compare totals and units across sources and note whether the crop year differs from calendar year.</w:t>
      </w:r>
    </w:p>
    <w:p>
      <w:pPr>
        <w:pStyle w:val="ListBullet"/>
        <w:keepLines/>
        <w:spacing w:after="60"/>
      </w:pPr>
      <w:r>
        <w:t>Timeliness: record the access date, dataset publication/update date and provisional/final status.</w:t>
      </w:r>
    </w:p>
    <w:p>
      <w:pPr>
        <w:pStyle w:val="ListBullet"/>
        <w:keepLines/>
        <w:spacing w:after="60"/>
      </w:pPr>
      <w:r>
        <w:t>Reproducibility: keep raw and cleaned files separately; version the code; make the transformations rerunnable.</w:t>
      </w:r>
    </w:p>
    <w:p>
      <w:pPr>
        <w:pStyle w:val="Heading2"/>
        <w:keepNext/>
        <w:spacing w:before="120" w:after="60"/>
      </w:pPr>
      <w:r>
        <w:t>7.2 Privacy and responsible use</w:t>
      </w:r>
    </w:p>
    <w:p>
      <w:r>
        <w:t>The project prioritises public aggregate data. If any dataset includes personal or farm-identifiable information, it will not be used unless lawful access and appropriate safeguards are clear. The report will avoid claiming that a model guarantees prices, crop yields or farmer income; it will present results as decision support with visible uncertainty.</w:t>
      </w:r>
    </w:p>
    <w:p>
      <w:pPr>
        <w:pStyle w:val="Heading1"/>
        <w:keepNext/>
        <w:pageBreakBefore/>
        <w:spacing w:before="180" w:after="100"/>
      </w:pPr>
      <w:r>
        <w:t>8. Proposed Evaluation Criteria</w:t>
      </w:r>
    </w:p>
    <w:p>
      <w:r>
        <w:t>The following rubric operationalises the Week 1 brief. It is a proposed self-checking rubric, not an official college grading formula. Each criterion receives a rating from 1 (weak) to 5 (excellent); weighted points = rating ÷ 5 × criterion weight.</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088"/>
            <w:shd w:fill="17365D"/>
            <w:vAlign w:val="center"/>
            <w:tcMar>
              <w:top w:w="90" w:type="dxa"/>
              <w:start w:w="100" w:type="dxa"/>
              <w:bottom w:w="90" w:type="dxa"/>
              <w:end w:w="100" w:type="dxa"/>
            </w:tcMar>
          </w:tcPr>
          <w:p>
            <w:pPr>
              <w:spacing w:after="0" w:before="0"/>
            </w:pPr>
            <w:r>
              <w:rPr>
                <w:rFonts w:ascii="Aptos" w:hAnsi="Aptos"/>
                <w:b/>
                <w:color w:val="FFFFFF"/>
                <w:sz w:val="14"/>
              </w:rPr>
              <w:t>Criterion</w:t>
            </w:r>
          </w:p>
        </w:tc>
        <w:tc>
          <w:tcPr>
            <w:tcW w:type="dxa" w:w="936"/>
            <w:shd w:fill="17365D"/>
            <w:vAlign w:val="center"/>
            <w:tcMar>
              <w:top w:w="90" w:type="dxa"/>
              <w:start w:w="100" w:type="dxa"/>
              <w:bottom w:w="90" w:type="dxa"/>
              <w:end w:w="100" w:type="dxa"/>
            </w:tcMar>
          </w:tcPr>
          <w:p>
            <w:pPr>
              <w:spacing w:after="0" w:before="0"/>
            </w:pPr>
            <w:r>
              <w:rPr>
                <w:rFonts w:ascii="Aptos" w:hAnsi="Aptos"/>
                <w:b/>
                <w:color w:val="FFFFFF"/>
                <w:sz w:val="14"/>
              </w:rPr>
              <w:t>Weight</w:t>
            </w:r>
          </w:p>
        </w:tc>
        <w:tc>
          <w:tcPr>
            <w:tcW w:type="dxa" w:w="2880"/>
            <w:shd w:fill="17365D"/>
            <w:vAlign w:val="center"/>
            <w:tcMar>
              <w:top w:w="90" w:type="dxa"/>
              <w:start w:w="100" w:type="dxa"/>
              <w:bottom w:w="90" w:type="dxa"/>
              <w:end w:w="100" w:type="dxa"/>
            </w:tcMar>
          </w:tcPr>
          <w:p>
            <w:pPr>
              <w:spacing w:after="0" w:before="0"/>
            </w:pPr>
            <w:r>
              <w:rPr>
                <w:rFonts w:ascii="Aptos" w:hAnsi="Aptos"/>
                <w:b/>
                <w:color w:val="FFFFFF"/>
                <w:sz w:val="14"/>
              </w:rPr>
              <w:t>Rating 1–2: needs improvement</w:t>
            </w:r>
          </w:p>
        </w:tc>
        <w:tc>
          <w:tcPr>
            <w:tcW w:type="dxa" w:w="2880"/>
            <w:shd w:fill="17365D"/>
            <w:vAlign w:val="center"/>
            <w:tcMar>
              <w:top w:w="90" w:type="dxa"/>
              <w:start w:w="100" w:type="dxa"/>
              <w:bottom w:w="90" w:type="dxa"/>
              <w:end w:w="100" w:type="dxa"/>
            </w:tcMar>
          </w:tcPr>
          <w:p>
            <w:pPr>
              <w:spacing w:after="0" w:before="0"/>
            </w:pPr>
            <w:r>
              <w:rPr>
                <w:rFonts w:ascii="Aptos" w:hAnsi="Aptos"/>
                <w:b/>
                <w:color w:val="FFFFFF"/>
                <w:sz w:val="14"/>
              </w:rPr>
              <w:t>Rating 4–5: strong evidence</w:t>
            </w:r>
          </w:p>
        </w:tc>
      </w:tr>
      <w:tr>
        <w:tc>
          <w:tcPr>
            <w:tcW w:type="dxa" w:w="2088"/>
            <w:vAlign w:val="center"/>
            <w:tcMar>
              <w:top w:w="90" w:type="dxa"/>
              <w:start w:w="100" w:type="dxa"/>
              <w:bottom w:w="90" w:type="dxa"/>
              <w:end w:w="100" w:type="dxa"/>
            </w:tcMar>
            <w:shd w:fill="FFFFFF"/>
          </w:tcPr>
          <w:p>
            <w:r>
              <w:t>Problem definition and scope</w:t>
            </w:r>
          </w:p>
        </w:tc>
        <w:tc>
          <w:tcPr>
            <w:tcW w:type="dxa" w:w="936"/>
            <w:vAlign w:val="center"/>
            <w:tcMar>
              <w:top w:w="90" w:type="dxa"/>
              <w:start w:w="100" w:type="dxa"/>
              <w:bottom w:w="90" w:type="dxa"/>
              <w:end w:w="100" w:type="dxa"/>
            </w:tcMar>
            <w:shd w:fill="FFFFFF"/>
          </w:tcPr>
          <w:p>
            <w:r>
              <w:t>10%</w:t>
            </w:r>
          </w:p>
        </w:tc>
        <w:tc>
          <w:tcPr>
            <w:tcW w:type="dxa" w:w="2880"/>
            <w:vAlign w:val="center"/>
            <w:tcMar>
              <w:top w:w="90" w:type="dxa"/>
              <w:start w:w="100" w:type="dxa"/>
              <w:bottom w:w="90" w:type="dxa"/>
              <w:end w:w="100" w:type="dxa"/>
            </w:tcMar>
            <w:shd w:fill="FFFFFF"/>
          </w:tcPr>
          <w:p>
            <w:r>
              <w:t>Question vague; crop, geography or period unclear.</w:t>
            </w:r>
          </w:p>
        </w:tc>
        <w:tc>
          <w:tcPr>
            <w:tcW w:type="dxa" w:w="2880"/>
            <w:vAlign w:val="center"/>
            <w:tcMar>
              <w:top w:w="90" w:type="dxa"/>
              <w:start w:w="100" w:type="dxa"/>
              <w:bottom w:w="90" w:type="dxa"/>
              <w:end w:w="100" w:type="dxa"/>
            </w:tcMar>
            <w:shd w:fill="FFFFFF"/>
          </w:tcPr>
          <w:p>
            <w:r>
              <w:t>Measurable questions, exclusions, scope and success criteria are explicit.</w:t>
            </w:r>
          </w:p>
        </w:tc>
      </w:tr>
      <w:tr>
        <w:tc>
          <w:tcPr>
            <w:tcW w:type="dxa" w:w="2088"/>
            <w:vAlign w:val="center"/>
            <w:tcMar>
              <w:top w:w="90" w:type="dxa"/>
              <w:start w:w="100" w:type="dxa"/>
              <w:bottom w:w="90" w:type="dxa"/>
              <w:end w:w="100" w:type="dxa"/>
            </w:tcMar>
            <w:shd w:fill="F5F8FA"/>
          </w:tcPr>
          <w:p>
            <w:r>
              <w:t>Data-source credibility and citation</w:t>
            </w:r>
          </w:p>
        </w:tc>
        <w:tc>
          <w:tcPr>
            <w:tcW w:type="dxa" w:w="936"/>
            <w:vAlign w:val="center"/>
            <w:tcMar>
              <w:top w:w="90" w:type="dxa"/>
              <w:start w:w="100" w:type="dxa"/>
              <w:bottom w:w="90" w:type="dxa"/>
              <w:end w:w="100" w:type="dxa"/>
            </w:tcMar>
            <w:shd w:fill="F5F8FA"/>
          </w:tcPr>
          <w:p>
            <w:r>
              <w:t>15%</w:t>
            </w:r>
          </w:p>
        </w:tc>
        <w:tc>
          <w:tcPr>
            <w:tcW w:type="dxa" w:w="2880"/>
            <w:vAlign w:val="center"/>
            <w:tcMar>
              <w:top w:w="90" w:type="dxa"/>
              <w:start w:w="100" w:type="dxa"/>
              <w:bottom w:w="90" w:type="dxa"/>
              <w:end w:w="100" w:type="dxa"/>
            </w:tcMar>
            <w:shd w:fill="F5F8FA"/>
          </w:tcPr>
          <w:p>
            <w:r>
              <w:t>Sources unsupported or hard to trace.</w:t>
            </w:r>
          </w:p>
        </w:tc>
        <w:tc>
          <w:tcPr>
            <w:tcW w:type="dxa" w:w="2880"/>
            <w:vAlign w:val="center"/>
            <w:tcMar>
              <w:top w:w="90" w:type="dxa"/>
              <w:start w:w="100" w:type="dxa"/>
              <w:bottom w:w="90" w:type="dxa"/>
              <w:end w:w="100" w:type="dxa"/>
            </w:tcMar>
            <w:shd w:fill="F5F8FA"/>
          </w:tcPr>
          <w:p>
            <w:r>
              <w:t>Agency, title, URL, retrieval date, coverage, units and caveats are recorded.</w:t>
            </w:r>
          </w:p>
        </w:tc>
      </w:tr>
      <w:tr>
        <w:tc>
          <w:tcPr>
            <w:tcW w:type="dxa" w:w="2088"/>
            <w:vAlign w:val="center"/>
            <w:tcMar>
              <w:top w:w="90" w:type="dxa"/>
              <w:start w:w="100" w:type="dxa"/>
              <w:bottom w:w="90" w:type="dxa"/>
              <w:end w:w="100" w:type="dxa"/>
            </w:tcMar>
            <w:shd w:fill="FFFFFF"/>
          </w:tcPr>
          <w:p>
            <w:r>
              <w:t>Data cleaning and method transparency</w:t>
            </w:r>
          </w:p>
        </w:tc>
        <w:tc>
          <w:tcPr>
            <w:tcW w:type="dxa" w:w="936"/>
            <w:vAlign w:val="center"/>
            <w:tcMar>
              <w:top w:w="90" w:type="dxa"/>
              <w:start w:w="100" w:type="dxa"/>
              <w:bottom w:w="90" w:type="dxa"/>
              <w:end w:w="100" w:type="dxa"/>
            </w:tcMar>
            <w:shd w:fill="FFFFFF"/>
          </w:tcPr>
          <w:p>
            <w:r>
              <w:t>15%</w:t>
            </w:r>
          </w:p>
        </w:tc>
        <w:tc>
          <w:tcPr>
            <w:tcW w:type="dxa" w:w="2880"/>
            <w:vAlign w:val="center"/>
            <w:tcMar>
              <w:top w:w="90" w:type="dxa"/>
              <w:start w:w="100" w:type="dxa"/>
              <w:bottom w:w="90" w:type="dxa"/>
              <w:end w:w="100" w:type="dxa"/>
            </w:tcMar>
            <w:shd w:fill="FFFFFF"/>
          </w:tcPr>
          <w:p>
            <w:r>
              <w:t>Cleaning undocumented; missing and zero values confused.</w:t>
            </w:r>
          </w:p>
        </w:tc>
        <w:tc>
          <w:tcPr>
            <w:tcW w:type="dxa" w:w="2880"/>
            <w:vAlign w:val="center"/>
            <w:tcMar>
              <w:top w:w="90" w:type="dxa"/>
              <w:start w:w="100" w:type="dxa"/>
              <w:bottom w:w="90" w:type="dxa"/>
              <w:end w:w="100" w:type="dxa"/>
            </w:tcMar>
            <w:shd w:fill="FFFFFF"/>
          </w:tcPr>
          <w:p>
            <w:r>
              <w:t>Raw/clean separation, audit log, key validation and transformations are reproducible.</w:t>
            </w:r>
          </w:p>
        </w:tc>
      </w:tr>
      <w:tr>
        <w:tc>
          <w:tcPr>
            <w:tcW w:type="dxa" w:w="2088"/>
            <w:vAlign w:val="center"/>
            <w:tcMar>
              <w:top w:w="90" w:type="dxa"/>
              <w:start w:w="100" w:type="dxa"/>
              <w:bottom w:w="90" w:type="dxa"/>
              <w:end w:w="100" w:type="dxa"/>
            </w:tcMar>
            <w:shd w:fill="F5F8FA"/>
          </w:tcPr>
          <w:p>
            <w:r>
              <w:t>Quantitative depth and interpretation</w:t>
            </w:r>
          </w:p>
        </w:tc>
        <w:tc>
          <w:tcPr>
            <w:tcW w:type="dxa" w:w="936"/>
            <w:vAlign w:val="center"/>
            <w:tcMar>
              <w:top w:w="90" w:type="dxa"/>
              <w:start w:w="100" w:type="dxa"/>
              <w:bottom w:w="90" w:type="dxa"/>
              <w:end w:w="100" w:type="dxa"/>
            </w:tcMar>
            <w:shd w:fill="F5F8FA"/>
          </w:tcPr>
          <w:p>
            <w:r>
              <w:t>20%</w:t>
            </w:r>
          </w:p>
        </w:tc>
        <w:tc>
          <w:tcPr>
            <w:tcW w:type="dxa" w:w="2880"/>
            <w:vAlign w:val="center"/>
            <w:tcMar>
              <w:top w:w="90" w:type="dxa"/>
              <w:start w:w="100" w:type="dxa"/>
              <w:bottom w:w="90" w:type="dxa"/>
              <w:end w:w="100" w:type="dxa"/>
            </w:tcMar>
            <w:shd w:fill="F5F8FA"/>
          </w:tcPr>
          <w:p>
            <w:r>
              <w:t>Mostly general description; no checked calculations.</w:t>
            </w:r>
          </w:p>
        </w:tc>
        <w:tc>
          <w:tcPr>
            <w:tcW w:type="dxa" w:w="2880"/>
            <w:vAlign w:val="center"/>
            <w:tcMar>
              <w:top w:w="90" w:type="dxa"/>
              <w:start w:w="100" w:type="dxa"/>
              <w:bottom w:w="90" w:type="dxa"/>
              <w:end w:w="100" w:type="dxa"/>
            </w:tcMar>
            <w:shd w:fill="F5F8FA"/>
          </w:tcPr>
          <w:p>
            <w:r>
              <w:t>Multiple checked metrics, trends, alternative explanations and evidence-led conclusions.</w:t>
            </w:r>
          </w:p>
        </w:tc>
      </w:tr>
      <w:tr>
        <w:tc>
          <w:tcPr>
            <w:tcW w:type="dxa" w:w="2088"/>
            <w:vAlign w:val="center"/>
            <w:tcMar>
              <w:top w:w="90" w:type="dxa"/>
              <w:start w:w="100" w:type="dxa"/>
              <w:bottom w:w="90" w:type="dxa"/>
              <w:end w:w="100" w:type="dxa"/>
            </w:tcMar>
            <w:shd w:fill="FFFFFF"/>
          </w:tcPr>
          <w:p>
            <w:r>
              <w:t>Forecasting and validation</w:t>
            </w:r>
          </w:p>
        </w:tc>
        <w:tc>
          <w:tcPr>
            <w:tcW w:type="dxa" w:w="936"/>
            <w:vAlign w:val="center"/>
            <w:tcMar>
              <w:top w:w="90" w:type="dxa"/>
              <w:start w:w="100" w:type="dxa"/>
              <w:bottom w:w="90" w:type="dxa"/>
              <w:end w:w="100" w:type="dxa"/>
            </w:tcMar>
            <w:shd w:fill="FFFFFF"/>
          </w:tcPr>
          <w:p>
            <w:r>
              <w:t>15%</w:t>
            </w:r>
          </w:p>
        </w:tc>
        <w:tc>
          <w:tcPr>
            <w:tcW w:type="dxa" w:w="2880"/>
            <w:vAlign w:val="center"/>
            <w:tcMar>
              <w:top w:w="90" w:type="dxa"/>
              <w:start w:w="100" w:type="dxa"/>
              <w:bottom w:w="90" w:type="dxa"/>
              <w:end w:w="100" w:type="dxa"/>
            </w:tcMar>
            <w:shd w:fill="FFFFFF"/>
          </w:tcPr>
          <w:p>
            <w:r>
              <w:t>Methods named without worked examples or evaluation.</w:t>
            </w:r>
          </w:p>
        </w:tc>
        <w:tc>
          <w:tcPr>
            <w:tcW w:type="dxa" w:w="2880"/>
            <w:vAlign w:val="center"/>
            <w:tcMar>
              <w:top w:w="90" w:type="dxa"/>
              <w:start w:w="100" w:type="dxa"/>
              <w:bottom w:w="90" w:type="dxa"/>
              <w:end w:w="100" w:type="dxa"/>
            </w:tcMar>
            <w:shd w:fill="FFFFFF"/>
          </w:tcPr>
          <w:p>
            <w:r>
              <w:t>Several baselines, transparent errors, time-ordered validation plan and limitations.</w:t>
            </w:r>
          </w:p>
        </w:tc>
      </w:tr>
      <w:tr>
        <w:tc>
          <w:tcPr>
            <w:tcW w:type="dxa" w:w="2088"/>
            <w:vAlign w:val="center"/>
            <w:tcMar>
              <w:top w:w="90" w:type="dxa"/>
              <w:start w:w="100" w:type="dxa"/>
              <w:bottom w:w="90" w:type="dxa"/>
              <w:end w:w="100" w:type="dxa"/>
            </w:tcMar>
            <w:shd w:fill="F5F8FA"/>
          </w:tcPr>
          <w:p>
            <w:r>
              <w:t>Charts and readability</w:t>
            </w:r>
          </w:p>
        </w:tc>
        <w:tc>
          <w:tcPr>
            <w:tcW w:type="dxa" w:w="936"/>
            <w:vAlign w:val="center"/>
            <w:tcMar>
              <w:top w:w="90" w:type="dxa"/>
              <w:start w:w="100" w:type="dxa"/>
              <w:bottom w:w="90" w:type="dxa"/>
              <w:end w:w="100" w:type="dxa"/>
            </w:tcMar>
            <w:shd w:fill="F5F8FA"/>
          </w:tcPr>
          <w:p>
            <w:r>
              <w:t>10%</w:t>
            </w:r>
          </w:p>
        </w:tc>
        <w:tc>
          <w:tcPr>
            <w:tcW w:type="dxa" w:w="2880"/>
            <w:vAlign w:val="center"/>
            <w:tcMar>
              <w:top w:w="90" w:type="dxa"/>
              <w:start w:w="100" w:type="dxa"/>
              <w:bottom w:w="90" w:type="dxa"/>
              <w:end w:w="100" w:type="dxa"/>
            </w:tcMar>
            <w:shd w:fill="F5F8FA"/>
          </w:tcPr>
          <w:p>
            <w:r>
              <w:t>Charts lack units/source or are hard to read.</w:t>
            </w:r>
          </w:p>
        </w:tc>
        <w:tc>
          <w:tcPr>
            <w:tcW w:type="dxa" w:w="2880"/>
            <w:vAlign w:val="center"/>
            <w:tcMar>
              <w:top w:w="90" w:type="dxa"/>
              <w:start w:w="100" w:type="dxa"/>
              <w:bottom w:w="90" w:type="dxa"/>
              <w:end w:w="100" w:type="dxa"/>
            </w:tcMar>
            <w:shd w:fill="F5F8FA"/>
          </w:tcPr>
          <w:p>
            <w:r>
              <w:t>Charts show titles, units, periods, source/status and support interpretation.</w:t>
            </w:r>
          </w:p>
        </w:tc>
      </w:tr>
      <w:tr>
        <w:tc>
          <w:tcPr>
            <w:tcW w:type="dxa" w:w="2088"/>
            <w:vAlign w:val="center"/>
            <w:tcMar>
              <w:top w:w="90" w:type="dxa"/>
              <w:start w:w="100" w:type="dxa"/>
              <w:bottom w:w="90" w:type="dxa"/>
              <w:end w:w="100" w:type="dxa"/>
            </w:tcMar>
            <w:shd w:fill="FFFFFF"/>
          </w:tcPr>
          <w:p>
            <w:r>
              <w:t>Practical relevance and limitations</w:t>
            </w:r>
          </w:p>
        </w:tc>
        <w:tc>
          <w:tcPr>
            <w:tcW w:type="dxa" w:w="936"/>
            <w:vAlign w:val="center"/>
            <w:tcMar>
              <w:top w:w="90" w:type="dxa"/>
              <w:start w:w="100" w:type="dxa"/>
              <w:bottom w:w="90" w:type="dxa"/>
              <w:end w:w="100" w:type="dxa"/>
            </w:tcMar>
            <w:shd w:fill="FFFFFF"/>
          </w:tcPr>
          <w:p>
            <w:r>
              <w:t>5%</w:t>
            </w:r>
          </w:p>
        </w:tc>
        <w:tc>
          <w:tcPr>
            <w:tcW w:type="dxa" w:w="2880"/>
            <w:vAlign w:val="center"/>
            <w:tcMar>
              <w:top w:w="90" w:type="dxa"/>
              <w:start w:w="100" w:type="dxa"/>
              <w:bottom w:w="90" w:type="dxa"/>
              <w:end w:w="100" w:type="dxa"/>
            </w:tcMar>
            <w:shd w:fill="FFFFFF"/>
          </w:tcPr>
          <w:p>
            <w:r>
              <w:t>Recommendations generic; assumptions hidden.</w:t>
            </w:r>
          </w:p>
        </w:tc>
        <w:tc>
          <w:tcPr>
            <w:tcW w:type="dxa" w:w="2880"/>
            <w:vAlign w:val="center"/>
            <w:tcMar>
              <w:top w:w="90" w:type="dxa"/>
              <w:start w:w="100" w:type="dxa"/>
              <w:bottom w:w="90" w:type="dxa"/>
              <w:end w:w="100" w:type="dxa"/>
            </w:tcMar>
            <w:shd w:fill="FFFFFF"/>
          </w:tcPr>
          <w:p>
            <w:r>
              <w:t>Actions follow evidence; uncertainty and unmeasured factors are separated.</w:t>
            </w:r>
          </w:p>
        </w:tc>
      </w:tr>
      <w:tr>
        <w:tc>
          <w:tcPr>
            <w:tcW w:type="dxa" w:w="2459"/>
          </w:tcPr>
          <w:p>
            <w:r>
              <w:t>Reproducibility and code/data</w:t>
            </w:r>
          </w:p>
        </w:tc>
        <w:tc>
          <w:tcPr>
            <w:tcW w:type="dxa" w:w="2459"/>
          </w:tcPr>
          <w:p>
            <w:r>
              <w:t>5%</w:t>
            </w:r>
          </w:p>
        </w:tc>
        <w:tc>
          <w:tcPr>
            <w:tcW w:type="dxa" w:w="2459"/>
          </w:tcPr>
          <w:p>
            <w:r>
              <w:t>Code/data missing; results cannot be recreated.</w:t>
            </w:r>
          </w:p>
        </w:tc>
        <w:tc>
          <w:tcPr>
            <w:tcW w:type="dxa" w:w="2459"/>
          </w:tcPr>
          <w:p>
            <w:r>
              <w:t>Clean run regenerates outputs; schema, environment, logs and outputs are included.</w:t>
            </w:r>
          </w:p>
        </w:tc>
      </w:tr>
      <w:tr>
        <w:tc>
          <w:tcPr>
            <w:tcW w:type="dxa" w:w="2459"/>
          </w:tcPr>
          <w:p>
            <w:r>
              <w:t>Timeline and deliverables</w:t>
            </w:r>
          </w:p>
        </w:tc>
        <w:tc>
          <w:tcPr>
            <w:tcW w:type="dxa" w:w="2459"/>
          </w:tcPr>
          <w:p>
            <w:r>
              <w:t>5%</w:t>
            </w:r>
          </w:p>
        </w:tc>
        <w:tc>
          <w:tcPr>
            <w:tcW w:type="dxa" w:w="2459"/>
          </w:tcPr>
          <w:p>
            <w:r>
              <w:t>Tasks undated or outputs undefined.</w:t>
            </w:r>
          </w:p>
        </w:tc>
        <w:tc>
          <w:tcPr>
            <w:tcW w:type="dxa" w:w="2459"/>
          </w:tcPr>
          <w:p>
            <w:r>
              <w:t>Dated milestones include outputs, acceptance checks and contingencies.</w:t>
            </w:r>
          </w:p>
        </w:tc>
      </w:tr>
    </w:tbl>
    <w:p>
      <w:pPr>
        <w:spacing w:after="0"/>
      </w:pPr>
    </w:p>
    <w:p>
      <w:pPr>
        <w:pStyle w:val="Heading2"/>
        <w:keepNext/>
        <w:spacing w:before="120" w:after="60"/>
      </w:pPr>
      <w:r>
        <w:t>8.1 Final submission checklist</w:t>
      </w:r>
    </w:p>
    <w:p>
      <w:pPr>
        <w:pStyle w:val="ListBullet"/>
        <w:keepLines/>
        <w:spacing w:after="60"/>
      </w:pPr>
      <w:r>
        <w:t>☐ Objectives, research rationale, scope, official sources and measurable KPIs are defined.</w:t>
      </w:r>
    </w:p>
    <w:p>
      <w:pPr>
        <w:pStyle w:val="ListBullet"/>
        <w:keepLines/>
        <w:spacing w:after="60"/>
      </w:pPr>
      <w:r>
        <w:t>☐ Cleaning rules cover missing values, duplicates, outliers, units and valid joins.</w:t>
      </w:r>
    </w:p>
    <w:p>
      <w:pPr>
        <w:pStyle w:val="ListBullet"/>
        <w:keepLines/>
        <w:spacing w:after="60"/>
      </w:pPr>
      <w:r>
        <w:t>☐ Forecasts include numerical examples, error calculations, a time-ordered evaluation plan and limitations.</w:t>
      </w:r>
    </w:p>
    <w:p>
      <w:pPr>
        <w:pStyle w:val="ListBullet"/>
        <w:keepLines/>
        <w:spacing w:after="60"/>
      </w:pPr>
      <w:r>
        <w:t>☐ Dated milestones, labelled charts, source references, provisional values and hypothetical examples are checked.</w:t>
      </w:r>
    </w:p>
    <w:p>
      <w:pPr>
        <w:pStyle w:val="Heading1"/>
        <w:keepNext/>
        <w:pageBreakBefore/>
        <w:spacing w:before="180" w:after="100"/>
      </w:pPr>
      <w:r>
        <w:t>9. Expected Deliverables and Conclusion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232"/>
            <w:shd w:fill="16324F"/>
            <w:vAlign w:val="center"/>
            <w:tcMar>
              <w:top w:w="90" w:type="dxa"/>
              <w:start w:w="100" w:type="dxa"/>
              <w:bottom w:w="90" w:type="dxa"/>
              <w:end w:w="100" w:type="dxa"/>
            </w:tcMar>
          </w:tcPr>
          <w:p>
            <w:pPr>
              <w:spacing w:after="0" w:before="0"/>
            </w:pPr>
            <w:r/>
            <w:r>
              <w:rPr>
                <w:rFonts w:ascii="Arial" w:hAnsi="Arial"/>
                <w:b/>
                <w:color w:val="FFFFFF"/>
                <w:sz w:val="15"/>
              </w:rPr>
              <w:t>Deliverable</w:t>
            </w:r>
          </w:p>
        </w:tc>
        <w:tc>
          <w:tcPr>
            <w:tcW w:type="dxa" w:w="3816"/>
            <w:shd w:fill="16324F"/>
            <w:vAlign w:val="center"/>
            <w:tcMar>
              <w:top w:w="90" w:type="dxa"/>
              <w:start w:w="100" w:type="dxa"/>
              <w:bottom w:w="90" w:type="dxa"/>
              <w:end w:w="100" w:type="dxa"/>
            </w:tcMar>
          </w:tcPr>
          <w:p>
            <w:pPr>
              <w:spacing w:after="0" w:before="0"/>
            </w:pPr>
            <w:r/>
            <w:r>
              <w:rPr>
                <w:rFonts w:ascii="Arial" w:hAnsi="Arial"/>
                <w:b/>
                <w:color w:val="FFFFFF"/>
                <w:sz w:val="15"/>
              </w:rPr>
              <w:t>Contents</w:t>
            </w:r>
          </w:p>
        </w:tc>
        <w:tc>
          <w:tcPr>
            <w:tcW w:type="dxa" w:w="2736"/>
            <w:shd w:fill="16324F"/>
            <w:vAlign w:val="center"/>
            <w:tcMar>
              <w:top w:w="90" w:type="dxa"/>
              <w:start w:w="100" w:type="dxa"/>
              <w:bottom w:w="90" w:type="dxa"/>
              <w:end w:w="100" w:type="dxa"/>
            </w:tcMar>
          </w:tcPr>
          <w:p>
            <w:pPr>
              <w:spacing w:after="0" w:before="0"/>
            </w:pPr>
            <w:r/>
            <w:r>
              <w:rPr>
                <w:rFonts w:ascii="Arial" w:hAnsi="Arial"/>
                <w:b/>
                <w:color w:val="FFFFFF"/>
                <w:sz w:val="15"/>
              </w:rPr>
              <w:t>Completion evidence</w:t>
            </w:r>
          </w:p>
        </w:tc>
      </w:tr>
      <w:tr>
        <w:tc>
          <w:tcPr>
            <w:tcW w:type="dxa" w:w="2232"/>
            <w:vAlign w:val="center"/>
            <w:tcMar>
              <w:top w:w="90" w:type="dxa"/>
              <w:start w:w="100" w:type="dxa"/>
              <w:bottom w:w="90" w:type="dxa"/>
              <w:end w:w="100" w:type="dxa"/>
            </w:tcMar>
            <w:shd w:fill="FFFFFF"/>
          </w:tcPr>
          <w:p>
            <w:pPr>
              <w:spacing w:after="0" w:before="0"/>
            </w:pPr>
            <w:r/>
            <w:r>
              <w:rPr>
                <w:rFonts w:ascii="Arial" w:hAnsi="Arial"/>
                <w:b w:val="0"/>
                <w:color w:val="16324F"/>
                <w:sz w:val="15"/>
              </w:rPr>
              <w:t>Planning document (DOCX)</w:t>
            </w:r>
          </w:p>
        </w:tc>
        <w:tc>
          <w:tcPr>
            <w:tcW w:type="dxa" w:w="3816"/>
            <w:vAlign w:val="center"/>
            <w:tcMar>
              <w:top w:w="90" w:type="dxa"/>
              <w:start w:w="100" w:type="dxa"/>
              <w:bottom w:w="90" w:type="dxa"/>
              <w:end w:w="100" w:type="dxa"/>
            </w:tcMar>
            <w:shd w:fill="FFFFFF"/>
          </w:tcPr>
          <w:p>
            <w:pPr>
              <w:spacing w:after="0" w:before="0"/>
            </w:pPr>
            <w:r/>
            <w:r>
              <w:rPr>
                <w:rFonts w:ascii="Arial" w:hAnsi="Arial"/>
                <w:b w:val="0"/>
                <w:color w:val="16324F"/>
                <w:sz w:val="15"/>
              </w:rPr>
              <w:t>Research rationale, scope, sources, indicators, process, forecasting plan, schedule, evaluation and references.</w:t>
            </w:r>
          </w:p>
        </w:tc>
        <w:tc>
          <w:tcPr>
            <w:tcW w:type="dxa" w:w="2736"/>
            <w:vAlign w:val="center"/>
            <w:tcMar>
              <w:top w:w="90" w:type="dxa"/>
              <w:start w:w="100" w:type="dxa"/>
              <w:bottom w:w="90" w:type="dxa"/>
              <w:end w:w="100" w:type="dxa"/>
            </w:tcMar>
            <w:shd w:fill="FFFFFF"/>
          </w:tcPr>
          <w:p>
            <w:pPr>
              <w:spacing w:after="0" w:before="0"/>
            </w:pPr>
            <w:r/>
            <w:r>
              <w:rPr>
                <w:rFonts w:ascii="Arial" w:hAnsi="Arial"/>
                <w:b w:val="0"/>
                <w:color w:val="16324F"/>
                <w:sz w:val="15"/>
              </w:rPr>
              <w:t>Requirements matrix completed; proofreading and source checks passed.</w:t>
            </w:r>
          </w:p>
        </w:tc>
      </w:tr>
      <w:tr>
        <w:tc>
          <w:tcPr>
            <w:tcW w:type="dxa" w:w="2232"/>
            <w:vAlign w:val="center"/>
            <w:tcMar>
              <w:top w:w="90" w:type="dxa"/>
              <w:start w:w="100" w:type="dxa"/>
              <w:bottom w:w="90" w:type="dxa"/>
              <w:end w:w="100" w:type="dxa"/>
            </w:tcMar>
            <w:shd w:fill="F5F8FA"/>
          </w:tcPr>
          <w:p>
            <w:pPr>
              <w:spacing w:after="0" w:before="0"/>
            </w:pPr>
            <w:r/>
            <w:r>
              <w:rPr>
                <w:rFonts w:ascii="Arial" w:hAnsi="Arial"/>
                <w:b w:val="0"/>
                <w:color w:val="16324F"/>
                <w:sz w:val="15"/>
              </w:rPr>
              <w:t>Source register</w:t>
            </w:r>
          </w:p>
        </w:tc>
        <w:tc>
          <w:tcPr>
            <w:tcW w:type="dxa" w:w="3816"/>
            <w:vAlign w:val="center"/>
            <w:tcMar>
              <w:top w:w="90" w:type="dxa"/>
              <w:start w:w="100" w:type="dxa"/>
              <w:bottom w:w="90" w:type="dxa"/>
              <w:end w:w="100" w:type="dxa"/>
            </w:tcMar>
            <w:shd w:fill="F5F8FA"/>
          </w:tcPr>
          <w:p>
            <w:pPr>
              <w:spacing w:after="0" w:before="0"/>
            </w:pPr>
            <w:r/>
            <w:r>
              <w:rPr>
                <w:rFonts w:ascii="Arial" w:hAnsi="Arial"/>
                <w:b w:val="0"/>
                <w:color w:val="16324F"/>
                <w:sz w:val="15"/>
              </w:rPr>
              <w:t>Source title, agency, URL, retrieval date, filters, coverage, unit, license/notes.</w:t>
            </w:r>
          </w:p>
        </w:tc>
        <w:tc>
          <w:tcPr>
            <w:tcW w:type="dxa" w:w="2736"/>
            <w:vAlign w:val="center"/>
            <w:tcMar>
              <w:top w:w="90" w:type="dxa"/>
              <w:start w:w="100" w:type="dxa"/>
              <w:bottom w:w="90" w:type="dxa"/>
              <w:end w:w="100" w:type="dxa"/>
            </w:tcMar>
            <w:shd w:fill="F5F8FA"/>
          </w:tcPr>
          <w:p>
            <w:pPr>
              <w:spacing w:after="0" w:before="0"/>
            </w:pPr>
            <w:r/>
            <w:r>
              <w:rPr>
                <w:rFonts w:ascii="Arial" w:hAnsi="Arial"/>
                <w:b w:val="0"/>
                <w:color w:val="16324F"/>
                <w:sz w:val="15"/>
              </w:rPr>
              <w:t>One row per file or dataset; all downloaded files traceable.</w:t>
            </w:r>
          </w:p>
        </w:tc>
      </w:tr>
      <w:tr>
        <w:tc>
          <w:tcPr>
            <w:tcW w:type="dxa" w:w="2232"/>
            <w:vAlign w:val="center"/>
            <w:tcMar>
              <w:top w:w="90" w:type="dxa"/>
              <w:start w:w="100" w:type="dxa"/>
              <w:bottom w:w="90" w:type="dxa"/>
              <w:end w:w="100" w:type="dxa"/>
            </w:tcMar>
            <w:shd w:fill="FFFFFF"/>
          </w:tcPr>
          <w:p>
            <w:pPr>
              <w:spacing w:after="0" w:before="0"/>
            </w:pPr>
            <w:r/>
            <w:r>
              <w:rPr>
                <w:rFonts w:ascii="Arial" w:hAnsi="Arial"/>
                <w:b w:val="0"/>
                <w:color w:val="16324F"/>
                <w:sz w:val="15"/>
              </w:rPr>
              <w:t>Raw-data archive</w:t>
            </w:r>
          </w:p>
        </w:tc>
        <w:tc>
          <w:tcPr>
            <w:tcW w:type="dxa" w:w="3816"/>
            <w:vAlign w:val="center"/>
            <w:tcMar>
              <w:top w:w="90" w:type="dxa"/>
              <w:start w:w="100" w:type="dxa"/>
              <w:bottom w:w="90" w:type="dxa"/>
              <w:end w:w="100" w:type="dxa"/>
            </w:tcMar>
            <w:shd w:fill="FFFFFF"/>
          </w:tcPr>
          <w:p>
            <w:pPr>
              <w:spacing w:after="0" w:before="0"/>
            </w:pPr>
            <w:r/>
            <w:r>
              <w:rPr>
                <w:rFonts w:ascii="Arial" w:hAnsi="Arial"/>
                <w:b w:val="0"/>
                <w:color w:val="16324F"/>
                <w:sz w:val="15"/>
              </w:rPr>
              <w:t>Original downloads with unmodified file names and retrieval notes.</w:t>
            </w:r>
          </w:p>
        </w:tc>
        <w:tc>
          <w:tcPr>
            <w:tcW w:type="dxa" w:w="2736"/>
            <w:vAlign w:val="center"/>
            <w:tcMar>
              <w:top w:w="90" w:type="dxa"/>
              <w:start w:w="100" w:type="dxa"/>
              <w:bottom w:w="90" w:type="dxa"/>
              <w:end w:w="100" w:type="dxa"/>
            </w:tcMar>
            <w:shd w:fill="FFFFFF"/>
          </w:tcPr>
          <w:p>
            <w:pPr>
              <w:spacing w:after="0" w:before="0"/>
            </w:pPr>
            <w:r/>
            <w:r>
              <w:rPr>
                <w:rFonts w:ascii="Arial" w:hAnsi="Arial"/>
                <w:b w:val="0"/>
                <w:color w:val="16324F"/>
                <w:sz w:val="15"/>
              </w:rPr>
              <w:t>Read-only raw directory; source files not overwritten.</w:t>
            </w:r>
          </w:p>
        </w:tc>
      </w:tr>
      <w:tr>
        <w:tc>
          <w:tcPr>
            <w:tcW w:type="dxa" w:w="2232"/>
            <w:vAlign w:val="center"/>
            <w:tcMar>
              <w:top w:w="90" w:type="dxa"/>
              <w:start w:w="100" w:type="dxa"/>
              <w:bottom w:w="90" w:type="dxa"/>
              <w:end w:w="100" w:type="dxa"/>
            </w:tcMar>
            <w:shd w:fill="F5F8FA"/>
          </w:tcPr>
          <w:p>
            <w:pPr>
              <w:spacing w:after="0" w:before="0"/>
            </w:pPr>
            <w:r/>
            <w:r>
              <w:rPr>
                <w:rFonts w:ascii="Arial" w:hAnsi="Arial"/>
                <w:b w:val="0"/>
                <w:color w:val="16324F"/>
                <w:sz w:val="15"/>
              </w:rPr>
              <w:t>Cleaned CSV + data dictionary</w:t>
            </w:r>
          </w:p>
        </w:tc>
        <w:tc>
          <w:tcPr>
            <w:tcW w:type="dxa" w:w="3816"/>
            <w:vAlign w:val="center"/>
            <w:tcMar>
              <w:top w:w="90" w:type="dxa"/>
              <w:start w:w="100" w:type="dxa"/>
              <w:bottom w:w="90" w:type="dxa"/>
              <w:end w:w="100" w:type="dxa"/>
            </w:tcMar>
            <w:shd w:fill="F5F8FA"/>
          </w:tcPr>
          <w:p>
            <w:pPr>
              <w:spacing w:after="0" w:before="0"/>
            </w:pPr>
            <w:r/>
            <w:r>
              <w:rPr>
                <w:rFonts w:ascii="Arial" w:hAnsi="Arial"/>
                <w:b w:val="0"/>
                <w:color w:val="16324F"/>
                <w:sz w:val="15"/>
              </w:rPr>
              <w:t>Standardised names, units, identifiers, derived variables and definitions.</w:t>
            </w:r>
          </w:p>
        </w:tc>
        <w:tc>
          <w:tcPr>
            <w:tcW w:type="dxa" w:w="2736"/>
            <w:vAlign w:val="center"/>
            <w:tcMar>
              <w:top w:w="90" w:type="dxa"/>
              <w:start w:w="100" w:type="dxa"/>
              <w:bottom w:w="90" w:type="dxa"/>
              <w:end w:w="100" w:type="dxa"/>
            </w:tcMar>
            <w:shd w:fill="F5F8FA"/>
          </w:tcPr>
          <w:p>
            <w:pPr>
              <w:spacing w:after="0" w:before="0"/>
            </w:pPr>
            <w:r/>
            <w:r>
              <w:rPr>
                <w:rFonts w:ascii="Arial" w:hAnsi="Arial"/>
                <w:b w:val="0"/>
                <w:color w:val="16324F"/>
                <w:sz w:val="15"/>
              </w:rPr>
              <w:t>Schema documented; quality report attached.</w:t>
            </w:r>
          </w:p>
        </w:tc>
      </w:tr>
      <w:tr>
        <w:tc>
          <w:tcPr>
            <w:tcW w:type="dxa" w:w="2232"/>
            <w:vAlign w:val="center"/>
            <w:tcMar>
              <w:top w:w="90" w:type="dxa"/>
              <w:start w:w="100" w:type="dxa"/>
              <w:bottom w:w="90" w:type="dxa"/>
              <w:end w:w="100" w:type="dxa"/>
            </w:tcMar>
            <w:shd w:fill="FFFFFF"/>
          </w:tcPr>
          <w:p>
            <w:pPr>
              <w:spacing w:after="0" w:before="0"/>
            </w:pPr>
            <w:r/>
            <w:r>
              <w:rPr>
                <w:rFonts w:ascii="Arial" w:hAnsi="Arial"/>
                <w:b w:val="0"/>
                <w:color w:val="16324F"/>
                <w:sz w:val="15"/>
              </w:rPr>
              <w:t>Python notebook or script</w:t>
            </w:r>
          </w:p>
        </w:tc>
        <w:tc>
          <w:tcPr>
            <w:tcW w:type="dxa" w:w="3816"/>
            <w:vAlign w:val="center"/>
            <w:tcMar>
              <w:top w:w="90" w:type="dxa"/>
              <w:start w:w="100" w:type="dxa"/>
              <w:bottom w:w="90" w:type="dxa"/>
              <w:end w:w="100" w:type="dxa"/>
            </w:tcMar>
            <w:shd w:fill="FFFFFF"/>
          </w:tcPr>
          <w:p>
            <w:pPr>
              <w:spacing w:after="0" w:before="0"/>
            </w:pPr>
            <w:r/>
            <w:r>
              <w:rPr>
                <w:rFonts w:ascii="Arial" w:hAnsi="Arial"/>
                <w:b w:val="0"/>
                <w:color w:val="16324F"/>
                <w:sz w:val="15"/>
              </w:rPr>
              <w:t>Acquisition notes (where permitted), cleaning, descriptive analysis, forecast baselines and metrics.</w:t>
            </w:r>
          </w:p>
        </w:tc>
        <w:tc>
          <w:tcPr>
            <w:tcW w:type="dxa" w:w="2736"/>
            <w:vAlign w:val="center"/>
            <w:tcMar>
              <w:top w:w="90" w:type="dxa"/>
              <w:start w:w="100" w:type="dxa"/>
              <w:bottom w:w="90" w:type="dxa"/>
              <w:end w:w="100" w:type="dxa"/>
            </w:tcMar>
            <w:shd w:fill="FFFFFF"/>
          </w:tcPr>
          <w:p>
            <w:pPr>
              <w:spacing w:after="0" w:before="0"/>
            </w:pPr>
            <w:r/>
            <w:r>
              <w:rPr>
                <w:rFonts w:ascii="Arial" w:hAnsi="Arial"/>
                <w:b w:val="0"/>
                <w:color w:val="16324F"/>
                <w:sz w:val="15"/>
              </w:rPr>
              <w:t>Can be run again using the documented files and dependencies.</w:t>
            </w:r>
          </w:p>
        </w:tc>
      </w:tr>
      <w:tr>
        <w:tc>
          <w:tcPr>
            <w:tcW w:type="dxa" w:w="2232"/>
            <w:vAlign w:val="center"/>
            <w:tcMar>
              <w:top w:w="90" w:type="dxa"/>
              <w:start w:w="100" w:type="dxa"/>
              <w:bottom w:w="90" w:type="dxa"/>
              <w:end w:w="100" w:type="dxa"/>
            </w:tcMar>
            <w:shd w:fill="F5F8FA"/>
          </w:tcPr>
          <w:p>
            <w:pPr>
              <w:spacing w:after="0" w:before="0"/>
            </w:pPr>
            <w:r/>
            <w:r>
              <w:rPr>
                <w:rFonts w:ascii="Arial" w:hAnsi="Arial"/>
                <w:b w:val="0"/>
                <w:color w:val="16324F"/>
                <w:sz w:val="15"/>
              </w:rPr>
              <w:t>Charts and summary</w:t>
            </w:r>
          </w:p>
        </w:tc>
        <w:tc>
          <w:tcPr>
            <w:tcW w:type="dxa" w:w="3816"/>
            <w:vAlign w:val="center"/>
            <w:tcMar>
              <w:top w:w="90" w:type="dxa"/>
              <w:start w:w="100" w:type="dxa"/>
              <w:bottom w:w="90" w:type="dxa"/>
              <w:end w:w="100" w:type="dxa"/>
            </w:tcMar>
            <w:shd w:fill="F5F8FA"/>
          </w:tcPr>
          <w:p>
            <w:pPr>
              <w:spacing w:after="0" w:before="0"/>
            </w:pPr>
            <w:r/>
            <w:r>
              <w:rPr>
                <w:rFonts w:ascii="Arial" w:hAnsi="Arial"/>
                <w:b w:val="0"/>
                <w:color w:val="16324F"/>
                <w:sz w:val="15"/>
              </w:rPr>
              <w:t>Crop trend, market price/seasonality, missingness and forecast evaluation charts.</w:t>
            </w:r>
          </w:p>
        </w:tc>
        <w:tc>
          <w:tcPr>
            <w:tcW w:type="dxa" w:w="2736"/>
            <w:vAlign w:val="center"/>
            <w:tcMar>
              <w:top w:w="90" w:type="dxa"/>
              <w:start w:w="100" w:type="dxa"/>
              <w:bottom w:w="90" w:type="dxa"/>
              <w:end w:w="100" w:type="dxa"/>
            </w:tcMar>
            <w:shd w:fill="F5F8FA"/>
          </w:tcPr>
          <w:p>
            <w:pPr>
              <w:spacing w:after="0" w:before="0"/>
            </w:pPr>
            <w:r/>
            <w:r>
              <w:rPr>
                <w:rFonts w:ascii="Arial" w:hAnsi="Arial"/>
                <w:b w:val="0"/>
                <w:color w:val="16324F"/>
                <w:sz w:val="15"/>
              </w:rPr>
              <w:t>Titles, units, sample period and sources visible.</w:t>
            </w:r>
          </w:p>
        </w:tc>
      </w:tr>
      <w:tr>
        <w:tc>
          <w:tcPr>
            <w:tcW w:type="dxa" w:w="2232"/>
            <w:vAlign w:val="center"/>
            <w:tcMar>
              <w:top w:w="90" w:type="dxa"/>
              <w:start w:w="100" w:type="dxa"/>
              <w:bottom w:w="90" w:type="dxa"/>
              <w:end w:w="100" w:type="dxa"/>
            </w:tcMar>
            <w:shd w:fill="FFFFFF"/>
          </w:tcPr>
          <w:p>
            <w:pPr>
              <w:spacing w:after="0" w:before="0"/>
            </w:pPr>
            <w:r/>
            <w:r>
              <w:rPr>
                <w:rFonts w:ascii="Arial" w:hAnsi="Arial"/>
                <w:b w:val="0"/>
                <w:color w:val="16324F"/>
                <w:sz w:val="15"/>
              </w:rPr>
              <w:t>Final findings report</w:t>
            </w:r>
          </w:p>
        </w:tc>
        <w:tc>
          <w:tcPr>
            <w:tcW w:type="dxa" w:w="3816"/>
            <w:vAlign w:val="center"/>
            <w:tcMar>
              <w:top w:w="90" w:type="dxa"/>
              <w:start w:w="100" w:type="dxa"/>
              <w:bottom w:w="90" w:type="dxa"/>
              <w:end w:w="100" w:type="dxa"/>
            </w:tcMar>
            <w:shd w:fill="FFFFFF"/>
          </w:tcPr>
          <w:p>
            <w:pPr>
              <w:spacing w:after="0" w:before="0"/>
            </w:pPr>
            <w:r/>
            <w:r>
              <w:rPr>
                <w:rFonts w:ascii="Arial" w:hAnsi="Arial"/>
                <w:b w:val="0"/>
                <w:color w:val="16324F"/>
                <w:sz w:val="15"/>
              </w:rPr>
              <w:t>Evidence-based findings, recommendations, risks and limitations.</w:t>
            </w:r>
          </w:p>
        </w:tc>
        <w:tc>
          <w:tcPr>
            <w:tcW w:type="dxa" w:w="2736"/>
            <w:vAlign w:val="center"/>
            <w:tcMar>
              <w:top w:w="90" w:type="dxa"/>
              <w:start w:w="100" w:type="dxa"/>
              <w:bottom w:w="90" w:type="dxa"/>
              <w:end w:w="100" w:type="dxa"/>
            </w:tcMar>
            <w:shd w:fill="FFFFFF"/>
          </w:tcPr>
          <w:p>
            <w:pPr>
              <w:spacing w:after="0" w:before="0"/>
            </w:pPr>
            <w:r/>
            <w:r>
              <w:rPr>
                <w:rFonts w:ascii="Arial" w:hAnsi="Arial"/>
                <w:b w:val="0"/>
                <w:color w:val="16324F"/>
                <w:sz w:val="15"/>
              </w:rPr>
              <w:t>Every claim links to a table, chart, formula or credible source.</w:t>
            </w:r>
          </w:p>
        </w:tc>
      </w:tr>
    </w:tbl>
    <w:p>
      <w:pPr>
        <w:spacing w:after="0"/>
      </w:pPr>
    </w:p>
    <w:p>
      <w:pPr>
        <w:pStyle w:val="Heading2"/>
        <w:keepNext/>
        <w:spacing w:before="120" w:after="60"/>
      </w:pPr>
      <w:r>
        <w:t>Conclusion</w:t>
      </w:r>
    </w:p>
    <w:p>
      <w:r>
        <w:t>This Week 1 plan defines a practical route from public agricultural information to transparent analysis. It combines official crop statistics with separately collected market-price and rainfall data, predefines meaningful metrics, sets out quality checks and proposes a realistic timeline. A small maize example demonstrates how to calculate changes and compare naïve, moving-average and linear-trend forecasts. The example also shows why model validation, data provenance and provisional-estimate labels are essential. The next stage is to download and audit the candidate market and climate datasets; results must be reported only after those records have been inspected and cleaned. Any planned or simulated price scenario must remain labelled hypothetical and must never be presented as observed market data.</w:t>
      </w:r>
    </w:p>
    <w:p>
      <w:pPr>
        <w:pStyle w:val="Heading1"/>
        <w:keepNext/>
        <w:spacing w:before="180" w:after="100"/>
      </w:pPr>
      <w:r>
        <w:t>References and public data portals</w:t>
      </w:r>
    </w:p>
    <w:p>
      <w:pPr>
        <w:spacing w:after="100"/>
        <w:ind w:left="288" w:hanging="288"/>
      </w:pPr>
      <w:r>
        <w:rPr>
          <w:sz w:val="16"/>
        </w:rPr>
        <w:t>[1] Department of Agriculture &amp; Farmers Welfare, Economics, Statistics &amp; Evaluation Division. “Agricultural Statistics at a Glance 2024.” https://desagri.gov.in/document-report-category/agriculture-statistics-at-a-glance/ (accessed 11 October 2026).</w:t>
      </w:r>
    </w:p>
    <w:p>
      <w:pPr>
        <w:spacing w:after="100"/>
        <w:ind w:left="288" w:hanging="288"/>
      </w:pPr>
      <w:r>
        <w:rPr>
          <w:sz w:val="16"/>
        </w:rPr>
        <w:t>[2] Department of Agriculture &amp; Farmers Welfare. “All India: Crop-wise Area, Production &amp; Yield,” 2021–22 to 2025–26, supplied project table. Source footnote: 2025–26 figures are third advance estimates; area in lakh ha, production in lakh tonnes, yield in kg/ha.</w:t>
      </w:r>
    </w:p>
    <w:p>
      <w:pPr>
        <w:spacing w:after="100"/>
        <w:ind w:left="288" w:hanging="288"/>
      </w:pPr>
      <w:r>
        <w:rPr>
          <w:sz w:val="16"/>
        </w:rPr>
        <w:t>[3] Open Government Data Platform India. “Current daily price of various commodities from various markets (Mandi).” Dataset generated through AGMARKNET. https://karnataka.data.gov.in/catalog/current-daily-price-various-commodities-various-markets-mandi (accessed 11 October 2026).</w:t>
      </w:r>
    </w:p>
    <w:p>
      <w:pPr>
        <w:spacing w:after="100"/>
        <w:ind w:left="288" w:hanging="288"/>
      </w:pPr>
      <w:r>
        <w:rPr>
          <w:sz w:val="16"/>
        </w:rPr>
        <w:t>[4] Directorate of Marketing &amp; Inspection. AGMARKNET portal. https://agmarknet.gov.in/ (accessed 11 October 2026).</w:t>
      </w:r>
    </w:p>
    <w:p>
      <w:pPr>
        <w:spacing w:after="100"/>
        <w:ind w:left="288" w:hanging="288"/>
      </w:pPr>
      <w:r>
        <w:rPr>
          <w:sz w:val="16"/>
        </w:rPr>
        <w:t>[5] India Meteorological Department. “Rainfall Information.” https://mausam.imd.gov.in/responsive/rainfallinformation.php?msg=M (accessed 11 October 2026).</w:t>
      </w:r>
    </w:p>
    <w:p>
      <w:pPr>
        <w:spacing w:after="100"/>
        <w:ind w:left="288" w:hanging="288"/>
      </w:pPr>
      <w:r>
        <w:rPr>
          <w:sz w:val="16"/>
        </w:rPr>
        <w:t>[6] World Bank. “Agriculture &amp; Rural Development Indicators.” https://data.worldbank.org/indicator (accessed 11 October 2026).</w:t>
      </w:r>
    </w:p>
    <w:p>
      <w:pPr>
        <w:spacing w:after="100"/>
        <w:ind w:left="288" w:hanging="288"/>
      </w:pPr>
      <w:r>
        <w:rPr>
          <w:sz w:val="16"/>
        </w:rPr>
        <w:t>[7] Food and Agriculture Organization of the United Nations. FAOSTAT database. https://www.fao.org/faostat/ (accessed 11 October 2026).</w:t>
      </w:r>
    </w:p>
    <w:p>
      <w:pPr>
        <w:spacing w:after="100"/>
        <w:ind w:left="288" w:hanging="288"/>
      </w:pPr>
      <w:r>
        <w:rPr>
          <w:sz w:val="16"/>
        </w:rPr>
        <w:t>[8] Safeer, S., Gallo, P., &amp; Pulvento, C. (2025). “Agri-farming with computer vision, IoT and blockchain towards climate smart cultivation.” Internet of Things, 34, 101749. https://doi.org/10.1016/j.iot.2025.101749. Included as supporting context for digital agriculture; it is not the source of crop-price data.</w:t>
      </w:r>
    </w:p>
    <w:p>
      <w:r>
        <w:br w:type="page"/>
      </w:r>
    </w:p>
    <w:p>
      <w:pPr>
        <w:pStyle w:val="Heading1"/>
        <w:keepNext/>
      </w:pPr>
      <w:r>
        <w:t>APPENDIX A | RESUBMISSION IMPROVEMENTS AND ORIGINAL NUMERICAL ANALYSIS</w:t>
      </w:r>
    </w:p>
    <w:p>
      <w:pPr>
        <w:spacing w:after="100" w:line="259" w:lineRule="auto"/>
      </w:pPr>
      <w:r>
        <w:t>This appendix makes the analytical evidence explicit so a reviewer can trace each conclusion to source values, formulae, or a clearly labelled scenario. The underlying crop figures come from the supplied Department of Agriculture &amp; Farmers Welfare (DA&amp;FW) All-India Crop-wise Area, Production &amp; Yield table. Values for 2025–26 are Third Advance Estimates and are not labelled as final outturns.</w:t>
      </w:r>
    </w:p>
    <w:p>
      <w:pPr>
        <w:pStyle w:val="Heading2"/>
        <w:keepNext/>
      </w:pPr>
      <w:r>
        <w:t>A.1 Feedback-to-evidence map</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88"/>
            <w:vAlign w:val="center"/>
            <w:tcMar>
              <w:top w:w="80" w:type="dxa"/>
              <w:start w:w="85" w:type="dxa"/>
              <w:bottom w:w="80" w:type="dxa"/>
              <w:end w:w="85" w:type="dxa"/>
            </w:tcMar>
            <w:shd w:fill="17365D"/>
          </w:tcPr>
          <w:p>
            <w:pPr>
              <w:spacing w:after="0" w:before="0" w:line="247" w:lineRule="auto"/>
            </w:pPr>
            <w:r/>
            <w:r>
              <w:rPr>
                <w:rFonts w:ascii="Aptos" w:hAnsi="Aptos"/>
                <w:b/>
                <w:color w:val="FFFFFF"/>
                <w:sz w:val="15"/>
              </w:rPr>
              <w:t>Evaluator concern</w:t>
            </w:r>
          </w:p>
        </w:tc>
        <w:tc>
          <w:tcPr>
            <w:tcW w:type="dxa" w:w="4464"/>
            <w:vAlign w:val="center"/>
            <w:tcMar>
              <w:top w:w="80" w:type="dxa"/>
              <w:start w:w="85" w:type="dxa"/>
              <w:bottom w:w="80" w:type="dxa"/>
              <w:end w:w="85" w:type="dxa"/>
            </w:tcMar>
            <w:shd w:fill="17365D"/>
          </w:tcPr>
          <w:p>
            <w:pPr>
              <w:spacing w:after="0" w:before="0" w:line="247" w:lineRule="auto"/>
            </w:pPr>
            <w:r/>
            <w:r>
              <w:rPr>
                <w:rFonts w:ascii="Aptos" w:hAnsi="Aptos"/>
                <w:b/>
                <w:color w:val="FFFFFF"/>
                <w:sz w:val="15"/>
              </w:rPr>
              <w:t>What this version adds</w:t>
            </w:r>
          </w:p>
        </w:tc>
        <w:tc>
          <w:tcPr>
            <w:tcW w:type="dxa" w:w="3528"/>
            <w:vAlign w:val="center"/>
            <w:tcMar>
              <w:top w:w="80" w:type="dxa"/>
              <w:start w:w="85" w:type="dxa"/>
              <w:bottom w:w="80" w:type="dxa"/>
              <w:end w:w="85" w:type="dxa"/>
            </w:tcMar>
            <w:shd w:fill="17365D"/>
          </w:tcPr>
          <w:p>
            <w:pPr>
              <w:spacing w:after="0" w:before="0" w:line="247" w:lineRule="auto"/>
            </w:pPr>
            <w:r/>
            <w:r>
              <w:rPr>
                <w:rFonts w:ascii="Aptos" w:hAnsi="Aptos"/>
                <w:b/>
                <w:color w:val="FFFFFF"/>
                <w:sz w:val="15"/>
              </w:rPr>
              <w:t>Evidence / where to check</w:t>
            </w:r>
          </w:p>
        </w:tc>
      </w:tr>
      <w:tr>
        <w:trPr>
          <w:cantSplit/>
        </w:trPr>
        <w:tc>
          <w:tcPr>
            <w:tcW w:type="dxa" w:w="2088"/>
            <w:vAlign w:val="center"/>
            <w:tcMar>
              <w:top w:w="80" w:type="dxa"/>
              <w:start w:w="85" w:type="dxa"/>
              <w:bottom w:w="80" w:type="dxa"/>
              <w:end w:w="85" w:type="dxa"/>
            </w:tcMar>
          </w:tcPr>
          <w:p>
            <w:pPr>
              <w:spacing w:after="0" w:before="0" w:line="247" w:lineRule="auto"/>
            </w:pPr>
            <w:r/>
            <w:r>
              <w:rPr>
                <w:rFonts w:ascii="Aptos" w:hAnsi="Aptos"/>
                <w:b w:val="0"/>
                <w:color w:val="1F2937"/>
                <w:sz w:val="15"/>
              </w:rPr>
              <w:t>Broad discussion; few concrete numbers</w:t>
            </w:r>
          </w:p>
        </w:tc>
        <w:tc>
          <w:tcPr>
            <w:tcW w:type="dxa" w:w="4464"/>
            <w:vAlign w:val="center"/>
            <w:tcMar>
              <w:top w:w="80" w:type="dxa"/>
              <w:start w:w="85" w:type="dxa"/>
              <w:bottom w:w="80" w:type="dxa"/>
              <w:end w:w="85" w:type="dxa"/>
            </w:tcMar>
          </w:tcPr>
          <w:p>
            <w:pPr>
              <w:spacing w:after="0" w:before="0" w:line="247" w:lineRule="auto"/>
            </w:pPr>
            <w:r/>
            <w:r>
              <w:rPr>
                <w:rFonts w:ascii="Aptos" w:hAnsi="Aptos"/>
                <w:b w:val="0"/>
                <w:color w:val="1F2937"/>
                <w:sz w:val="15"/>
              </w:rPr>
              <w:t>Endpoint changes for maize area, production and yield; year-by-year total food-grain production; formulas and source status.</w:t>
            </w:r>
          </w:p>
        </w:tc>
        <w:tc>
          <w:tcPr>
            <w:tcW w:type="dxa" w:w="3528"/>
            <w:vAlign w:val="center"/>
            <w:tcMar>
              <w:top w:w="80" w:type="dxa"/>
              <w:start w:w="85" w:type="dxa"/>
              <w:bottom w:w="80" w:type="dxa"/>
              <w:end w:w="85" w:type="dxa"/>
            </w:tcMar>
          </w:tcPr>
          <w:p>
            <w:pPr>
              <w:spacing w:after="0" w:before="0" w:line="247" w:lineRule="auto"/>
            </w:pPr>
            <w:r/>
            <w:r>
              <w:rPr>
                <w:rFonts w:ascii="Aptos" w:hAnsi="Aptos"/>
                <w:b w:val="0"/>
                <w:color w:val="1F2937"/>
                <w:sz w:val="15"/>
              </w:rPr>
              <w:t>Appendix A.2 and outputs/endpoint_change_metrics.csv; outputs/foodgrains_yoy_analysis.csv</w:t>
            </w:r>
          </w:p>
        </w:tc>
      </w:tr>
      <w:tr>
        <w:trPr>
          <w:cantSplit/>
        </w:trPr>
        <w:tc>
          <w:tcPr>
            <w:tcW w:type="dxa" w:w="208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5"/>
              </w:rPr>
              <w:t>Forecasting methods too vague</w:t>
            </w:r>
          </w:p>
        </w:tc>
        <w:tc>
          <w:tcPr>
            <w:tcW w:type="dxa" w:w="4464"/>
            <w:vAlign w:val="center"/>
            <w:tcMar>
              <w:top w:w="80" w:type="dxa"/>
              <w:start w:w="85" w:type="dxa"/>
              <w:bottom w:w="80" w:type="dxa"/>
              <w:end w:w="85" w:type="dxa"/>
            </w:tcMar>
            <w:shd w:fill="F7F9FB"/>
          </w:tcPr>
          <w:p>
            <w:pPr>
              <w:spacing w:after="0" w:before="0" w:line="247" w:lineRule="auto"/>
            </w:pPr>
            <w:r/>
            <w:r>
              <w:rPr>
                <w:rFonts w:ascii="Aptos" w:hAnsi="Aptos"/>
                <w:b w:val="0"/>
                <w:color w:val="1F2937"/>
                <w:sz w:val="15"/>
              </w:rPr>
              <w:t>Numerical naïve, three-year moving-average and linear-trend estimates compared against the source-reported 2025–26 maize Third Advance Estimate.</w:t>
            </w:r>
          </w:p>
        </w:tc>
        <w:tc>
          <w:tcPr>
            <w:tcW w:type="dxa" w:w="352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5"/>
              </w:rPr>
              <w:t>Appendix B; outputs/maize_forecast_holdout_comparison.csv</w:t>
            </w:r>
          </w:p>
        </w:tc>
      </w:tr>
      <w:tr>
        <w:trPr>
          <w:cantSplit/>
        </w:trPr>
        <w:tc>
          <w:tcPr>
            <w:tcW w:type="dxa" w:w="2088"/>
            <w:vAlign w:val="center"/>
            <w:tcMar>
              <w:top w:w="80" w:type="dxa"/>
              <w:start w:w="85" w:type="dxa"/>
              <w:bottom w:w="80" w:type="dxa"/>
              <w:end w:w="85" w:type="dxa"/>
            </w:tcMar>
          </w:tcPr>
          <w:p>
            <w:pPr>
              <w:spacing w:after="0" w:before="0" w:line="247" w:lineRule="auto"/>
            </w:pPr>
            <w:r/>
            <w:r>
              <w:rPr>
                <w:rFonts w:ascii="Aptos" w:hAnsi="Aptos"/>
                <w:b w:val="0"/>
                <w:color w:val="1F2937"/>
                <w:sz w:val="15"/>
              </w:rPr>
              <w:t>Timeline too generic</w:t>
            </w:r>
          </w:p>
        </w:tc>
        <w:tc>
          <w:tcPr>
            <w:tcW w:type="dxa" w:w="4464"/>
            <w:vAlign w:val="center"/>
            <w:tcMar>
              <w:top w:w="80" w:type="dxa"/>
              <w:start w:w="85" w:type="dxa"/>
              <w:bottom w:w="80" w:type="dxa"/>
              <w:end w:w="85" w:type="dxa"/>
            </w:tcMar>
          </w:tcPr>
          <w:p>
            <w:pPr>
              <w:spacing w:after="0" w:before="0" w:line="247" w:lineRule="auto"/>
            </w:pPr>
            <w:r/>
            <w:r>
              <w:rPr>
                <w:rFonts w:ascii="Aptos" w:hAnsi="Aptos"/>
                <w:b w:val="0"/>
                <w:color w:val="1F2937"/>
                <w:sz w:val="15"/>
              </w:rPr>
              <w:t>Dated milestones and completion evidence already included in Section 6; the Week 1 plan runs 12–18 Oct 2026 and follow-on work is scheduled through 6 Dec 2026.</w:t>
            </w:r>
          </w:p>
        </w:tc>
        <w:tc>
          <w:tcPr>
            <w:tcW w:type="dxa" w:w="3528"/>
            <w:vAlign w:val="center"/>
            <w:tcMar>
              <w:top w:w="80" w:type="dxa"/>
              <w:start w:w="85" w:type="dxa"/>
              <w:bottom w:w="80" w:type="dxa"/>
              <w:end w:w="85" w:type="dxa"/>
            </w:tcMar>
          </w:tcPr>
          <w:p>
            <w:pPr>
              <w:spacing w:after="0" w:before="0" w:line="247" w:lineRule="auto"/>
            </w:pPr>
            <w:r/>
            <w:r>
              <w:rPr>
                <w:rFonts w:ascii="Aptos" w:hAnsi="Aptos"/>
                <w:b w:val="0"/>
                <w:color w:val="1F2937"/>
                <w:sz w:val="15"/>
              </w:rPr>
              <w:t>Section 6: dates, deliverables and acceptance checks</w:t>
            </w:r>
          </w:p>
        </w:tc>
      </w:tr>
      <w:tr>
        <w:trPr>
          <w:cantSplit/>
        </w:trPr>
        <w:tc>
          <w:tcPr>
            <w:tcW w:type="dxa" w:w="208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5"/>
              </w:rPr>
              <w:t>Evaluation criteria too brief</w:t>
            </w:r>
          </w:p>
        </w:tc>
        <w:tc>
          <w:tcPr>
            <w:tcW w:type="dxa" w:w="4464"/>
            <w:vAlign w:val="center"/>
            <w:tcMar>
              <w:top w:w="80" w:type="dxa"/>
              <w:start w:w="85" w:type="dxa"/>
              <w:bottom w:w="80" w:type="dxa"/>
              <w:end w:w="85" w:type="dxa"/>
            </w:tcMar>
            <w:shd w:fill="F7F9FB"/>
          </w:tcPr>
          <w:p>
            <w:pPr>
              <w:spacing w:after="0" w:before="0" w:line="247" w:lineRule="auto"/>
            </w:pPr>
            <w:r/>
            <w:r>
              <w:rPr>
                <w:rFonts w:ascii="Aptos" w:hAnsi="Aptos"/>
                <w:b w:val="0"/>
                <w:color w:val="1F2937"/>
                <w:sz w:val="15"/>
              </w:rPr>
              <w:t>A nine-criterion rubric includes weights, observable 1/3/5 anchors and a weighted scoring formula.</w:t>
            </w:r>
          </w:p>
        </w:tc>
        <w:tc>
          <w:tcPr>
            <w:tcW w:type="dxa" w:w="352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5"/>
              </w:rPr>
              <w:t>Appendix D</w:t>
            </w:r>
          </w:p>
        </w:tc>
      </w:tr>
      <w:tr>
        <w:trPr>
          <w:cantSplit/>
        </w:trPr>
        <w:tc>
          <w:tcPr>
            <w:tcW w:type="dxa" w:w="2088"/>
            <w:vAlign w:val="center"/>
            <w:tcMar>
              <w:top w:w="80" w:type="dxa"/>
              <w:start w:w="85" w:type="dxa"/>
              <w:bottom w:w="80" w:type="dxa"/>
              <w:end w:w="85" w:type="dxa"/>
            </w:tcMar>
          </w:tcPr>
          <w:p>
            <w:pPr>
              <w:spacing w:after="0" w:before="0" w:line="247" w:lineRule="auto"/>
            </w:pPr>
            <w:r/>
            <w:r>
              <w:rPr>
                <w:rFonts w:ascii="Aptos" w:hAnsi="Aptos"/>
                <w:b w:val="0"/>
                <w:color w:val="1F2937"/>
                <w:sz w:val="15"/>
              </w:rPr>
              <w:t>Analysis not reproducible</w:t>
            </w:r>
          </w:p>
        </w:tc>
        <w:tc>
          <w:tcPr>
            <w:tcW w:type="dxa" w:w="4464"/>
            <w:vAlign w:val="center"/>
            <w:tcMar>
              <w:top w:w="80" w:type="dxa"/>
              <w:start w:w="85" w:type="dxa"/>
              <w:bottom w:w="80" w:type="dxa"/>
              <w:end w:w="85" w:type="dxa"/>
            </w:tcMar>
          </w:tcPr>
          <w:p>
            <w:pPr>
              <w:spacing w:after="0" w:before="0" w:line="247" w:lineRule="auto"/>
            </w:pPr>
            <w:r/>
            <w:r>
              <w:rPr>
                <w:rFonts w:ascii="Aptos" w:hAnsi="Aptos"/>
                <w:b w:val="0"/>
                <w:color w:val="1F2937"/>
                <w:sz w:val="15"/>
              </w:rPr>
              <w:t>A runnable Python script, notebook, 40-row selected CSV, outputs, data-quality audit and README are included in the companion bundle.</w:t>
            </w:r>
          </w:p>
        </w:tc>
        <w:tc>
          <w:tcPr>
            <w:tcW w:type="dxa" w:w="3528"/>
            <w:vAlign w:val="center"/>
            <w:tcMar>
              <w:top w:w="80" w:type="dxa"/>
              <w:start w:w="85" w:type="dxa"/>
              <w:bottom w:w="80" w:type="dxa"/>
              <w:end w:w="85" w:type="dxa"/>
            </w:tcMar>
          </w:tcPr>
          <w:p>
            <w:pPr>
              <w:spacing w:after="0" w:before="0" w:line="247" w:lineRule="auto"/>
            </w:pPr>
            <w:r/>
            <w:r>
              <w:rPr>
                <w:rFonts w:ascii="Aptos" w:hAnsi="Aptos"/>
                <w:b w:val="0"/>
                <w:color w:val="1F2937"/>
                <w:sz w:val="15"/>
              </w:rPr>
              <w:t>Appendix C and the resubmission ZIP</w:t>
            </w:r>
          </w:p>
        </w:tc>
      </w:tr>
      <w:tr>
        <w:trPr>
          <w:cantSplit/>
        </w:trPr>
        <w:tc>
          <w:tcPr>
            <w:tcW w:type="dxa" w:w="208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5"/>
              </w:rPr>
              <w:t>Price/loss numbers could be mistaken for observed facts</w:t>
            </w:r>
          </w:p>
        </w:tc>
        <w:tc>
          <w:tcPr>
            <w:tcW w:type="dxa" w:w="4464"/>
            <w:vAlign w:val="center"/>
            <w:tcMar>
              <w:top w:w="80" w:type="dxa"/>
              <w:start w:w="85" w:type="dxa"/>
              <w:bottom w:w="80" w:type="dxa"/>
              <w:end w:w="85" w:type="dxa"/>
            </w:tcMar>
            <w:shd w:fill="F7F9FB"/>
          </w:tcPr>
          <w:p>
            <w:pPr>
              <w:spacing w:after="0" w:before="0" w:line="247" w:lineRule="auto"/>
            </w:pPr>
            <w:r/>
            <w:r>
              <w:rPr>
                <w:rFonts w:ascii="Aptos" w:hAnsi="Aptos"/>
                <w:b w:val="0"/>
                <w:color w:val="1F2937"/>
                <w:sz w:val="15"/>
              </w:rPr>
              <w:t>Price-spread and supply-chain loss numbers are explicitly labelled hypothetical teaching scenarios; the supplied crop table has no price or measured loss observations.</w:t>
            </w:r>
          </w:p>
        </w:tc>
        <w:tc>
          <w:tcPr>
            <w:tcW w:type="dxa" w:w="352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5"/>
              </w:rPr>
              <w:t>Appendix B.3 and B.4; matching CSVs have HYPOTHETICAL status labels</w:t>
            </w:r>
          </w:p>
        </w:tc>
      </w:tr>
    </w:tbl>
    <w:p>
      <w:pPr>
        <w:spacing w:after="20"/>
      </w:pPr>
    </w:p>
    <w:p>
      <w:pPr>
        <w:pStyle w:val="Heading2"/>
        <w:keepNext/>
      </w:pPr>
      <w:r>
        <w:t>A.2 Source-backed maize statistics</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1656"/>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Agricultural year</w:t>
            </w:r>
          </w:p>
        </w:tc>
        <w:tc>
          <w:tcPr>
            <w:tcW w:type="dxa" w:w="1656"/>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Area (lakh ha)</w:t>
            </w:r>
          </w:p>
        </w:tc>
        <w:tc>
          <w:tcPr>
            <w:tcW w:type="dxa" w:w="2304"/>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Production (lakh tonnes)</w:t>
            </w:r>
          </w:p>
        </w:tc>
        <w:tc>
          <w:tcPr>
            <w:tcW w:type="dxa" w:w="1656"/>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Yield (kg/ha)</w:t>
            </w:r>
          </w:p>
        </w:tc>
        <w:tc>
          <w:tcPr>
            <w:tcW w:type="dxa" w:w="2448"/>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Source status</w:t>
            </w:r>
          </w:p>
        </w:tc>
      </w:tr>
      <w:tr>
        <w:trPr>
          <w:cantSplit/>
        </w:trPr>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6"/>
              </w:rPr>
              <w:t>2021–22</w:t>
            </w:r>
          </w:p>
        </w:tc>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6"/>
              </w:rPr>
              <w:t>99.58</w:t>
            </w:r>
          </w:p>
        </w:tc>
        <w:tc>
          <w:tcPr>
            <w:tcW w:type="dxa" w:w="2304"/>
            <w:vAlign w:val="center"/>
            <w:tcMar>
              <w:top w:w="80" w:type="dxa"/>
              <w:start w:w="85" w:type="dxa"/>
              <w:bottom w:w="80" w:type="dxa"/>
              <w:end w:w="85" w:type="dxa"/>
            </w:tcMar>
          </w:tcPr>
          <w:p>
            <w:pPr>
              <w:spacing w:after="0" w:before="0" w:line="247" w:lineRule="auto"/>
            </w:pPr>
            <w:r/>
            <w:r>
              <w:rPr>
                <w:rFonts w:ascii="Aptos" w:hAnsi="Aptos"/>
                <w:b w:val="0"/>
                <w:color w:val="1F2937"/>
                <w:sz w:val="16"/>
              </w:rPr>
              <w:t>337.30</w:t>
            </w:r>
          </w:p>
        </w:tc>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6"/>
              </w:rPr>
              <w:t>3,387</w:t>
            </w:r>
          </w:p>
        </w:tc>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Reported in supplied source</w:t>
            </w:r>
          </w:p>
        </w:tc>
      </w:tr>
      <w:tr>
        <w:trPr>
          <w:cantSplit/>
        </w:trPr>
        <w:tc>
          <w:tcPr>
            <w:tcW w:type="dxa" w:w="16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2022–23</w:t>
            </w:r>
          </w:p>
        </w:tc>
        <w:tc>
          <w:tcPr>
            <w:tcW w:type="dxa" w:w="16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107.44</w:t>
            </w:r>
          </w:p>
        </w:tc>
        <w:tc>
          <w:tcPr>
            <w:tcW w:type="dxa" w:w="2304"/>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380.85</w:t>
            </w:r>
          </w:p>
        </w:tc>
        <w:tc>
          <w:tcPr>
            <w:tcW w:type="dxa" w:w="16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3,545</w:t>
            </w:r>
          </w:p>
        </w:tc>
        <w:tc>
          <w:tcPr>
            <w:tcW w:type="dxa" w:w="244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Reported in supplied source</w:t>
            </w:r>
          </w:p>
        </w:tc>
      </w:tr>
      <w:tr>
        <w:trPr>
          <w:cantSplit/>
        </w:trPr>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6"/>
              </w:rPr>
              <w:t>2023–24</w:t>
            </w:r>
          </w:p>
        </w:tc>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6"/>
              </w:rPr>
              <w:t>112.41</w:t>
            </w:r>
          </w:p>
        </w:tc>
        <w:tc>
          <w:tcPr>
            <w:tcW w:type="dxa" w:w="2304"/>
            <w:vAlign w:val="center"/>
            <w:tcMar>
              <w:top w:w="80" w:type="dxa"/>
              <w:start w:w="85" w:type="dxa"/>
              <w:bottom w:w="80" w:type="dxa"/>
              <w:end w:w="85" w:type="dxa"/>
            </w:tcMar>
          </w:tcPr>
          <w:p>
            <w:pPr>
              <w:spacing w:after="0" w:before="0" w:line="247" w:lineRule="auto"/>
            </w:pPr>
            <w:r/>
            <w:r>
              <w:rPr>
                <w:rFonts w:ascii="Aptos" w:hAnsi="Aptos"/>
                <w:b w:val="0"/>
                <w:color w:val="1F2937"/>
                <w:sz w:val="16"/>
              </w:rPr>
              <w:t>376.65</w:t>
            </w:r>
          </w:p>
        </w:tc>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6"/>
              </w:rPr>
              <w:t>3,351</w:t>
            </w:r>
          </w:p>
        </w:tc>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Reported in supplied source</w:t>
            </w:r>
          </w:p>
        </w:tc>
      </w:tr>
      <w:tr>
        <w:trPr>
          <w:cantSplit/>
        </w:trPr>
        <w:tc>
          <w:tcPr>
            <w:tcW w:type="dxa" w:w="16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2024–25</w:t>
            </w:r>
          </w:p>
        </w:tc>
        <w:tc>
          <w:tcPr>
            <w:tcW w:type="dxa" w:w="16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120.91</w:t>
            </w:r>
          </w:p>
        </w:tc>
        <w:tc>
          <w:tcPr>
            <w:tcW w:type="dxa" w:w="2304"/>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434.09</w:t>
            </w:r>
          </w:p>
        </w:tc>
        <w:tc>
          <w:tcPr>
            <w:tcW w:type="dxa" w:w="16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3,590</w:t>
            </w:r>
          </w:p>
        </w:tc>
        <w:tc>
          <w:tcPr>
            <w:tcW w:type="dxa" w:w="244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Reported in supplied source</w:t>
            </w:r>
          </w:p>
        </w:tc>
      </w:tr>
      <w:tr>
        <w:trPr>
          <w:cantSplit/>
        </w:trPr>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6"/>
              </w:rPr>
              <w:t>2025–26</w:t>
            </w:r>
          </w:p>
        </w:tc>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6"/>
              </w:rPr>
              <w:t>144.08</w:t>
            </w:r>
          </w:p>
        </w:tc>
        <w:tc>
          <w:tcPr>
            <w:tcW w:type="dxa" w:w="2304"/>
            <w:vAlign w:val="center"/>
            <w:tcMar>
              <w:top w:w="80" w:type="dxa"/>
              <w:start w:w="85" w:type="dxa"/>
              <w:bottom w:w="80" w:type="dxa"/>
              <w:end w:w="85" w:type="dxa"/>
            </w:tcMar>
          </w:tcPr>
          <w:p>
            <w:pPr>
              <w:spacing w:after="0" w:before="0" w:line="247" w:lineRule="auto"/>
            </w:pPr>
            <w:r/>
            <w:r>
              <w:rPr>
                <w:rFonts w:ascii="Aptos" w:hAnsi="Aptos"/>
                <w:b w:val="0"/>
                <w:color w:val="1F2937"/>
                <w:sz w:val="16"/>
              </w:rPr>
              <w:t>550.93</w:t>
            </w:r>
          </w:p>
        </w:tc>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6"/>
              </w:rPr>
              <w:t>3,824</w:t>
            </w:r>
          </w:p>
        </w:tc>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Third Advance Estimate</w:t>
            </w:r>
          </w:p>
        </w:tc>
      </w:tr>
    </w:tbl>
    <w:p>
      <w:pPr>
        <w:spacing w:after="20"/>
      </w:pPr>
    </w:p>
    <w:p>
      <w:r>
        <w:br w:type="page"/>
      </w:r>
    </w:p>
    <w:p>
      <w:pPr>
        <w:pStyle w:val="Heading2"/>
        <w:keepNext/>
      </w:pPr>
      <w:r>
        <w:t>Calculated endpoint changes</w:t>
      </w:r>
    </w:p>
    <w:p>
      <w:pPr>
        <w:spacing w:after="100" w:line="259" w:lineRule="auto"/>
      </w:pPr>
      <w:r>
        <w:t>Endpoint change formula: percentage change = ((2025–26 value ÷ 2021–22 value) − 1) × 100. Values are compared within the same variable and crop.</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48"/>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Indicator</w:t>
            </w:r>
          </w:p>
        </w:tc>
        <w:tc>
          <w:tcPr>
            <w:tcW w:type="dxa" w:w="2448"/>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Starting value (2021–22)</w:t>
            </w:r>
          </w:p>
        </w:tc>
        <w:tc>
          <w:tcPr>
            <w:tcW w:type="dxa" w:w="2664"/>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Ending value (2025–26*)</w:t>
            </w:r>
          </w:p>
        </w:tc>
        <w:tc>
          <w:tcPr>
            <w:tcW w:type="dxa" w:w="2016"/>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Calculated change</w:t>
            </w:r>
          </w:p>
        </w:tc>
      </w:tr>
      <w:tr>
        <w:trPr>
          <w:cantSplit/>
        </w:trPr>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Maize area</w:t>
            </w:r>
          </w:p>
        </w:tc>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99.58 lakh ha</w:t>
            </w:r>
          </w:p>
        </w:tc>
        <w:tc>
          <w:tcPr>
            <w:tcW w:type="dxa" w:w="2664"/>
            <w:vAlign w:val="center"/>
            <w:tcMar>
              <w:top w:w="80" w:type="dxa"/>
              <w:start w:w="85" w:type="dxa"/>
              <w:bottom w:w="80" w:type="dxa"/>
              <w:end w:w="85" w:type="dxa"/>
            </w:tcMar>
          </w:tcPr>
          <w:p>
            <w:pPr>
              <w:spacing w:after="0" w:before="0" w:line="247" w:lineRule="auto"/>
            </w:pPr>
            <w:r/>
            <w:r>
              <w:rPr>
                <w:rFonts w:ascii="Aptos" w:hAnsi="Aptos"/>
                <w:b w:val="0"/>
                <w:color w:val="1F2937"/>
                <w:sz w:val="16"/>
              </w:rPr>
              <w:t>144.08 lakh ha</w:t>
            </w:r>
          </w:p>
        </w:tc>
        <w:tc>
          <w:tcPr>
            <w:tcW w:type="dxa" w:w="2016"/>
            <w:vAlign w:val="center"/>
            <w:tcMar>
              <w:top w:w="80" w:type="dxa"/>
              <w:start w:w="85" w:type="dxa"/>
              <w:bottom w:w="80" w:type="dxa"/>
              <w:end w:w="85" w:type="dxa"/>
            </w:tcMar>
          </w:tcPr>
          <w:p>
            <w:pPr>
              <w:spacing w:after="0" w:before="0" w:line="247" w:lineRule="auto"/>
            </w:pPr>
            <w:r/>
            <w:r>
              <w:rPr>
                <w:rFonts w:ascii="Aptos" w:hAnsi="Aptos"/>
                <w:b w:val="0"/>
                <w:color w:val="1F2937"/>
                <w:sz w:val="16"/>
              </w:rPr>
              <w:t>+44.69%</w:t>
            </w:r>
          </w:p>
        </w:tc>
      </w:tr>
      <w:tr>
        <w:trPr>
          <w:cantSplit/>
        </w:trPr>
        <w:tc>
          <w:tcPr>
            <w:tcW w:type="dxa" w:w="244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Maize production</w:t>
            </w:r>
          </w:p>
        </w:tc>
        <w:tc>
          <w:tcPr>
            <w:tcW w:type="dxa" w:w="244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337.30 lakh tonnes</w:t>
            </w:r>
          </w:p>
        </w:tc>
        <w:tc>
          <w:tcPr>
            <w:tcW w:type="dxa" w:w="2664"/>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550.93 lakh tonnes</w:t>
            </w:r>
          </w:p>
        </w:tc>
        <w:tc>
          <w:tcPr>
            <w:tcW w:type="dxa" w:w="201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+63.34%</w:t>
            </w:r>
          </w:p>
        </w:tc>
      </w:tr>
      <w:tr>
        <w:trPr>
          <w:cantSplit/>
        </w:trPr>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Maize yield</w:t>
            </w:r>
          </w:p>
        </w:tc>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3,387 kg/ha</w:t>
            </w:r>
          </w:p>
        </w:tc>
        <w:tc>
          <w:tcPr>
            <w:tcW w:type="dxa" w:w="2664"/>
            <w:vAlign w:val="center"/>
            <w:tcMar>
              <w:top w:w="80" w:type="dxa"/>
              <w:start w:w="85" w:type="dxa"/>
              <w:bottom w:w="80" w:type="dxa"/>
              <w:end w:w="85" w:type="dxa"/>
            </w:tcMar>
          </w:tcPr>
          <w:p>
            <w:pPr>
              <w:spacing w:after="0" w:before="0" w:line="247" w:lineRule="auto"/>
            </w:pPr>
            <w:r/>
            <w:r>
              <w:rPr>
                <w:rFonts w:ascii="Aptos" w:hAnsi="Aptos"/>
                <w:b w:val="0"/>
                <w:color w:val="1F2937"/>
                <w:sz w:val="16"/>
              </w:rPr>
              <w:t>3,824 kg/ha</w:t>
            </w:r>
          </w:p>
        </w:tc>
        <w:tc>
          <w:tcPr>
            <w:tcW w:type="dxa" w:w="2016"/>
            <w:vAlign w:val="center"/>
            <w:tcMar>
              <w:top w:w="80" w:type="dxa"/>
              <w:start w:w="85" w:type="dxa"/>
              <w:bottom w:w="80" w:type="dxa"/>
              <w:end w:w="85" w:type="dxa"/>
            </w:tcMar>
          </w:tcPr>
          <w:p>
            <w:pPr>
              <w:spacing w:after="0" w:before="0" w:line="247" w:lineRule="auto"/>
            </w:pPr>
            <w:r/>
            <w:r>
              <w:rPr>
                <w:rFonts w:ascii="Aptos" w:hAnsi="Aptos"/>
                <w:b w:val="0"/>
                <w:color w:val="1F2937"/>
                <w:sz w:val="16"/>
              </w:rPr>
              <w:t>+12.90%</w:t>
            </w:r>
          </w:p>
        </w:tc>
      </w:tr>
      <w:tr>
        <w:trPr>
          <w:cantSplit/>
        </w:trPr>
        <w:tc>
          <w:tcPr>
            <w:tcW w:type="dxa" w:w="244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Total food-grain production</w:t>
            </w:r>
          </w:p>
        </w:tc>
        <w:tc>
          <w:tcPr>
            <w:tcW w:type="dxa" w:w="244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3,156.16 lakh tonnes</w:t>
            </w:r>
          </w:p>
        </w:tc>
        <w:tc>
          <w:tcPr>
            <w:tcW w:type="dxa" w:w="2664"/>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3,765.63 lakh tonnes</w:t>
            </w:r>
          </w:p>
        </w:tc>
        <w:tc>
          <w:tcPr>
            <w:tcW w:type="dxa" w:w="201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+19.31%</w:t>
            </w:r>
          </w:p>
        </w:tc>
      </w:tr>
    </w:tbl>
    <w:p>
      <w:pPr>
        <w:spacing w:after="20"/>
      </w:pPr>
    </w:p>
    <w:tbl>
      <w:tblPr>
        <w:tblStyle w:val="TableGrid"/>
        <w:tblW w:type="auto" w:w="0"/>
        <w:jc w:val="center"/>
        <w:tblLook w:firstColumn="1" w:firstRow="1" w:lastColumn="0" w:lastRow="0" w:noHBand="0" w:noVBand="1" w:val="04A0"/>
      </w:tblPr>
      <w:tblGrid>
        <w:gridCol w:w="9835"/>
      </w:tblGrid>
      <w:tr>
        <w:tc>
          <w:tcPr>
            <w:tcW w:type="dxa" w:w="9835"/>
            <w:shd w:fill="EAF1F8"/>
            <w:tcMar>
              <w:top w:w="110" w:type="dxa"/>
              <w:start w:w="140" w:type="dxa"/>
              <w:bottom w:w="110" w:type="dxa"/>
              <w:end w:w="140" w:type="dxa"/>
            </w:tcMar>
          </w:tcPr>
          <w:p>
            <w:pPr>
              <w:spacing w:after="40"/>
            </w:pPr>
            <w:r/>
            <w:r>
              <w:rPr>
                <w:b/>
                <w:color w:val="0F766E"/>
                <w:sz w:val="18"/>
              </w:rPr>
              <w:t xml:space="preserve">Interpretation boundary  </w:t>
            </w:r>
            <w:r>
              <w:rPr>
                <w:color w:val="1F2937"/>
                <w:sz w:val="17"/>
              </w:rPr>
              <w:t>Maize production increased faster than cultivated area over these endpoints, while reported yield also increased. This is descriptive, not causal: the data do not isolate the effects of weather, seed, inputs, policy, or reporting revisions. The 2025–26 value is a Third Advance Estimate.</w:t>
            </w:r>
          </w:p>
        </w:tc>
      </w:tr>
    </w:tbl>
    <w:p>
      <w:pPr>
        <w:spacing w:after="20"/>
      </w:pPr>
    </w:p>
    <w:p>
      <w:pPr>
        <w:pStyle w:val="Heading2"/>
        <w:keepNext/>
      </w:pPr>
      <w:r>
        <w:t>A.3 Total food-grain production year by year</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448"/>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Agricultural year</w:t>
            </w:r>
          </w:p>
        </w:tc>
        <w:tc>
          <w:tcPr>
            <w:tcW w:type="dxa" w:w="3456"/>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Production (lakh tonnes)</w:t>
            </w:r>
          </w:p>
        </w:tc>
        <w:tc>
          <w:tcPr>
            <w:tcW w:type="dxa" w:w="3456"/>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Year-over-year change</w:t>
            </w:r>
          </w:p>
        </w:tc>
      </w:tr>
      <w:tr>
        <w:trPr>
          <w:cantSplit/>
        </w:trPr>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2021–22</w:t>
            </w:r>
          </w:p>
        </w:tc>
        <w:tc>
          <w:tcPr>
            <w:tcW w:type="dxa" w:w="3456"/>
            <w:vAlign w:val="center"/>
            <w:tcMar>
              <w:top w:w="80" w:type="dxa"/>
              <w:start w:w="85" w:type="dxa"/>
              <w:bottom w:w="80" w:type="dxa"/>
              <w:end w:w="85" w:type="dxa"/>
            </w:tcMar>
          </w:tcPr>
          <w:p>
            <w:pPr>
              <w:spacing w:after="0" w:before="0" w:line="247" w:lineRule="auto"/>
            </w:pPr>
            <w:r/>
            <w:r>
              <w:rPr>
                <w:rFonts w:ascii="Aptos" w:hAnsi="Aptos"/>
                <w:b w:val="0"/>
                <w:color w:val="1F2937"/>
                <w:sz w:val="16"/>
              </w:rPr>
              <w:t>3,156.16</w:t>
            </w:r>
          </w:p>
        </w:tc>
        <w:tc>
          <w:tcPr>
            <w:tcW w:type="dxa" w:w="3456"/>
            <w:vAlign w:val="center"/>
            <w:tcMar>
              <w:top w:w="80" w:type="dxa"/>
              <w:start w:w="85" w:type="dxa"/>
              <w:bottom w:w="80" w:type="dxa"/>
              <w:end w:w="85" w:type="dxa"/>
            </w:tcMar>
          </w:tcPr>
          <w:p>
            <w:pPr>
              <w:spacing w:after="0" w:before="0" w:line="247" w:lineRule="auto"/>
            </w:pPr>
            <w:r/>
            <w:r>
              <w:rPr>
                <w:rFonts w:ascii="Aptos" w:hAnsi="Aptos"/>
                <w:b w:val="0"/>
                <w:color w:val="1F2937"/>
                <w:sz w:val="16"/>
              </w:rPr>
              <w:t>Baseline</w:t>
            </w:r>
          </w:p>
        </w:tc>
      </w:tr>
      <w:tr>
        <w:trPr>
          <w:cantSplit/>
        </w:trPr>
        <w:tc>
          <w:tcPr>
            <w:tcW w:type="dxa" w:w="244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2022–23</w:t>
            </w:r>
          </w:p>
        </w:tc>
        <w:tc>
          <w:tcPr>
            <w:tcW w:type="dxa" w:w="34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3,296.87</w:t>
            </w:r>
          </w:p>
        </w:tc>
        <w:tc>
          <w:tcPr>
            <w:tcW w:type="dxa" w:w="34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+4.46%</w:t>
            </w:r>
          </w:p>
        </w:tc>
      </w:tr>
      <w:tr>
        <w:trPr>
          <w:cantSplit/>
        </w:trPr>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2023–24</w:t>
            </w:r>
          </w:p>
        </w:tc>
        <w:tc>
          <w:tcPr>
            <w:tcW w:type="dxa" w:w="3456"/>
            <w:vAlign w:val="center"/>
            <w:tcMar>
              <w:top w:w="80" w:type="dxa"/>
              <w:start w:w="85" w:type="dxa"/>
              <w:bottom w:w="80" w:type="dxa"/>
              <w:end w:w="85" w:type="dxa"/>
            </w:tcMar>
          </w:tcPr>
          <w:p>
            <w:pPr>
              <w:spacing w:after="0" w:before="0" w:line="247" w:lineRule="auto"/>
            </w:pPr>
            <w:r/>
            <w:r>
              <w:rPr>
                <w:rFonts w:ascii="Aptos" w:hAnsi="Aptos"/>
                <w:b w:val="0"/>
                <w:color w:val="1F2937"/>
                <w:sz w:val="16"/>
              </w:rPr>
              <w:t>3,322.98</w:t>
            </w:r>
          </w:p>
        </w:tc>
        <w:tc>
          <w:tcPr>
            <w:tcW w:type="dxa" w:w="3456"/>
            <w:vAlign w:val="center"/>
            <w:tcMar>
              <w:top w:w="80" w:type="dxa"/>
              <w:start w:w="85" w:type="dxa"/>
              <w:bottom w:w="80" w:type="dxa"/>
              <w:end w:w="85" w:type="dxa"/>
            </w:tcMar>
          </w:tcPr>
          <w:p>
            <w:pPr>
              <w:spacing w:after="0" w:before="0" w:line="247" w:lineRule="auto"/>
            </w:pPr>
            <w:r/>
            <w:r>
              <w:rPr>
                <w:rFonts w:ascii="Aptos" w:hAnsi="Aptos"/>
                <w:b w:val="0"/>
                <w:color w:val="1F2937"/>
                <w:sz w:val="16"/>
              </w:rPr>
              <w:t>+0.79%</w:t>
            </w:r>
          </w:p>
        </w:tc>
      </w:tr>
      <w:tr>
        <w:trPr>
          <w:cantSplit/>
        </w:trPr>
        <w:tc>
          <w:tcPr>
            <w:tcW w:type="dxa" w:w="244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2024–25</w:t>
            </w:r>
          </w:p>
        </w:tc>
        <w:tc>
          <w:tcPr>
            <w:tcW w:type="dxa" w:w="34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3,577.32</w:t>
            </w:r>
          </w:p>
        </w:tc>
        <w:tc>
          <w:tcPr>
            <w:tcW w:type="dxa" w:w="34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+7.65%</w:t>
            </w:r>
          </w:p>
        </w:tc>
      </w:tr>
      <w:tr>
        <w:trPr>
          <w:cantSplit/>
        </w:trPr>
        <w:tc>
          <w:tcPr>
            <w:tcW w:type="dxa" w:w="2448"/>
            <w:vAlign w:val="center"/>
            <w:tcMar>
              <w:top w:w="80" w:type="dxa"/>
              <w:start w:w="85" w:type="dxa"/>
              <w:bottom w:w="80" w:type="dxa"/>
              <w:end w:w="85" w:type="dxa"/>
            </w:tcMar>
          </w:tcPr>
          <w:p>
            <w:pPr>
              <w:spacing w:after="0" w:before="0" w:line="247" w:lineRule="auto"/>
            </w:pPr>
            <w:r/>
            <w:r>
              <w:rPr>
                <w:rFonts w:ascii="Aptos" w:hAnsi="Aptos"/>
                <w:b w:val="0"/>
                <w:color w:val="1F2937"/>
                <w:sz w:val="16"/>
              </w:rPr>
              <w:t>2025–26*</w:t>
            </w:r>
          </w:p>
        </w:tc>
        <w:tc>
          <w:tcPr>
            <w:tcW w:type="dxa" w:w="3456"/>
            <w:vAlign w:val="center"/>
            <w:tcMar>
              <w:top w:w="80" w:type="dxa"/>
              <w:start w:w="85" w:type="dxa"/>
              <w:bottom w:w="80" w:type="dxa"/>
              <w:end w:w="85" w:type="dxa"/>
            </w:tcMar>
          </w:tcPr>
          <w:p>
            <w:pPr>
              <w:spacing w:after="0" w:before="0" w:line="247" w:lineRule="auto"/>
            </w:pPr>
            <w:r/>
            <w:r>
              <w:rPr>
                <w:rFonts w:ascii="Aptos" w:hAnsi="Aptos"/>
                <w:b w:val="0"/>
                <w:color w:val="1F2937"/>
                <w:sz w:val="16"/>
              </w:rPr>
              <w:t>3,765.63</w:t>
            </w:r>
          </w:p>
        </w:tc>
        <w:tc>
          <w:tcPr>
            <w:tcW w:type="dxa" w:w="3456"/>
            <w:vAlign w:val="center"/>
            <w:tcMar>
              <w:top w:w="80" w:type="dxa"/>
              <w:start w:w="85" w:type="dxa"/>
              <w:bottom w:w="80" w:type="dxa"/>
              <w:end w:w="85" w:type="dxa"/>
            </w:tcMar>
          </w:tcPr>
          <w:p>
            <w:pPr>
              <w:spacing w:after="0" w:before="0" w:line="247" w:lineRule="auto"/>
            </w:pPr>
            <w:r/>
            <w:r>
              <w:rPr>
                <w:rFonts w:ascii="Aptos" w:hAnsi="Aptos"/>
                <w:b w:val="0"/>
                <w:color w:val="1F2937"/>
                <w:sz w:val="16"/>
              </w:rPr>
              <w:t>+5.26%</w:t>
            </w:r>
          </w:p>
        </w:tc>
      </w:tr>
    </w:tbl>
    <w:p>
      <w:pPr>
        <w:spacing w:after="20"/>
      </w:pPr>
    </w:p>
    <w:p>
      <w:pPr>
        <w:spacing w:after="100" w:line="259" w:lineRule="auto"/>
      </w:pPr>
      <w:r>
        <w:t>Across four year-to-year intervals, total food-grain production rises by 19.31%, equivalent to a descriptive compound annual growth rate (CAGR) of approximately 4.51%. CAGR is calculated as ((last value ÷ first value)^(1/4) − 1) × 100. It describes the endpoints and does not imply the same rate will continue.</w:t>
      </w:r>
    </w:p>
    <w:p>
      <w:r>
        <w:br w:type="page"/>
      </w:r>
    </w:p>
    <w:p>
      <w:pPr>
        <w:pStyle w:val="Heading1"/>
        <w:keepNext/>
      </w:pPr>
      <w:r>
        <w:t>APPENDIX B | DETAILED FORECASTING EXAMPLE AND SCENARIO CALCULATIONS</w:t>
      </w:r>
    </w:p>
    <w:p>
      <w:pPr>
        <w:pStyle w:val="Heading2"/>
        <w:keepNext/>
      </w:pPr>
      <w:r>
        <w:t>B.1 One-step-ahead maize comparison</w:t>
      </w:r>
    </w:p>
    <w:p>
      <w:pPr>
        <w:spacing w:after="100" w:line="259" w:lineRule="auto"/>
      </w:pPr>
      <w:r>
        <w:t>To demonstrate the mechanics of forecasting, the four maize production observations from 2021–22 through 2024–25 are used as the training series. The 2025–26 Third Advance Estimate (550.93 lakh tonnes) is the comparison value. The exercise is deliberately a single holdout demonstration, not a complete validation study.</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1728"/>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Method</w:t>
            </w:r>
          </w:p>
        </w:tc>
        <w:tc>
          <w:tcPr>
            <w:tcW w:type="dxa" w:w="3240"/>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Calculation</w:t>
            </w:r>
          </w:p>
        </w:tc>
        <w:tc>
          <w:tcPr>
            <w:tcW w:type="dxa" w:w="1728"/>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Forecast (lakh tonnes)</w:t>
            </w:r>
          </w:p>
        </w:tc>
        <w:tc>
          <w:tcPr>
            <w:tcW w:type="dxa" w:w="1656"/>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Absolute error (lakh tonnes)</w:t>
            </w:r>
          </w:p>
        </w:tc>
        <w:tc>
          <w:tcPr>
            <w:tcW w:type="dxa" w:w="1152"/>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Absolute % error</w:t>
            </w:r>
          </w:p>
        </w:tc>
      </w:tr>
      <w:tr>
        <w:trPr>
          <w:cantSplit/>
        </w:trPr>
        <w:tc>
          <w:tcPr>
            <w:tcW w:type="dxa" w:w="1728"/>
            <w:vAlign w:val="center"/>
            <w:tcMar>
              <w:top w:w="80" w:type="dxa"/>
              <w:start w:w="85" w:type="dxa"/>
              <w:bottom w:w="80" w:type="dxa"/>
              <w:end w:w="85" w:type="dxa"/>
            </w:tcMar>
          </w:tcPr>
          <w:p>
            <w:pPr>
              <w:spacing w:after="0" w:before="0" w:line="247" w:lineRule="auto"/>
            </w:pPr>
            <w:r/>
            <w:r>
              <w:rPr>
                <w:rFonts w:ascii="Aptos" w:hAnsi="Aptos"/>
                <w:b w:val="0"/>
                <w:color w:val="1F2937"/>
                <w:sz w:val="14"/>
              </w:rPr>
              <w:t>Naïve baseline</w:t>
            </w:r>
          </w:p>
        </w:tc>
        <w:tc>
          <w:tcPr>
            <w:tcW w:type="dxa" w:w="3240"/>
            <w:vAlign w:val="center"/>
            <w:tcMar>
              <w:top w:w="80" w:type="dxa"/>
              <w:start w:w="85" w:type="dxa"/>
              <w:bottom w:w="80" w:type="dxa"/>
              <w:end w:w="85" w:type="dxa"/>
            </w:tcMar>
          </w:tcPr>
          <w:p>
            <w:pPr>
              <w:spacing w:after="0" w:before="0" w:line="247" w:lineRule="auto"/>
            </w:pPr>
            <w:r/>
            <w:r>
              <w:rPr>
                <w:rFonts w:ascii="Aptos" w:hAnsi="Aptos"/>
                <w:b w:val="0"/>
                <w:color w:val="1F2937"/>
                <w:sz w:val="14"/>
              </w:rPr>
              <w:t>Use 2024–25 value</w:t>
            </w:r>
          </w:p>
        </w:tc>
        <w:tc>
          <w:tcPr>
            <w:tcW w:type="dxa" w:w="1728"/>
            <w:vAlign w:val="center"/>
            <w:tcMar>
              <w:top w:w="80" w:type="dxa"/>
              <w:start w:w="85" w:type="dxa"/>
              <w:bottom w:w="80" w:type="dxa"/>
              <w:end w:w="85" w:type="dxa"/>
            </w:tcMar>
          </w:tcPr>
          <w:p>
            <w:pPr>
              <w:spacing w:after="0" w:before="0" w:line="247" w:lineRule="auto"/>
            </w:pPr>
            <w:r/>
            <w:r>
              <w:rPr>
                <w:rFonts w:ascii="Aptos" w:hAnsi="Aptos"/>
                <w:b w:val="0"/>
                <w:color w:val="1F2937"/>
                <w:sz w:val="14"/>
              </w:rPr>
              <w:t>434.09</w:t>
            </w:r>
          </w:p>
        </w:tc>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4"/>
              </w:rPr>
              <w:t>116.84</w:t>
            </w:r>
          </w:p>
        </w:tc>
        <w:tc>
          <w:tcPr>
            <w:tcW w:type="dxa" w:w="1152"/>
            <w:vAlign w:val="center"/>
            <w:tcMar>
              <w:top w:w="80" w:type="dxa"/>
              <w:start w:w="85" w:type="dxa"/>
              <w:bottom w:w="80" w:type="dxa"/>
              <w:end w:w="85" w:type="dxa"/>
            </w:tcMar>
          </w:tcPr>
          <w:p>
            <w:pPr>
              <w:spacing w:after="0" w:before="0" w:line="247" w:lineRule="auto"/>
            </w:pPr>
            <w:r/>
            <w:r>
              <w:rPr>
                <w:rFonts w:ascii="Aptos" w:hAnsi="Aptos"/>
                <w:b w:val="0"/>
                <w:color w:val="1F2937"/>
                <w:sz w:val="14"/>
              </w:rPr>
              <w:t>21.21%</w:t>
            </w:r>
          </w:p>
        </w:tc>
      </w:tr>
      <w:tr>
        <w:trPr>
          <w:cantSplit/>
        </w:trPr>
        <w:tc>
          <w:tcPr>
            <w:tcW w:type="dxa" w:w="172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Three-year moving average</w:t>
            </w:r>
          </w:p>
        </w:tc>
        <w:tc>
          <w:tcPr>
            <w:tcW w:type="dxa" w:w="324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(380.85 + 376.65 + 434.09) ÷ 3</w:t>
            </w:r>
          </w:p>
        </w:tc>
        <w:tc>
          <w:tcPr>
            <w:tcW w:type="dxa" w:w="172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397.20</w:t>
            </w:r>
          </w:p>
        </w:tc>
        <w:tc>
          <w:tcPr>
            <w:tcW w:type="dxa" w:w="16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153.73</w:t>
            </w:r>
          </w:p>
        </w:tc>
        <w:tc>
          <w:tcPr>
            <w:tcW w:type="dxa" w:w="115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27.90%</w:t>
            </w:r>
          </w:p>
        </w:tc>
      </w:tr>
      <w:tr>
        <w:trPr>
          <w:cantSplit/>
        </w:trPr>
        <w:tc>
          <w:tcPr>
            <w:tcW w:type="dxa" w:w="1728"/>
            <w:vAlign w:val="center"/>
            <w:tcMar>
              <w:top w:w="80" w:type="dxa"/>
              <w:start w:w="85" w:type="dxa"/>
              <w:bottom w:w="80" w:type="dxa"/>
              <w:end w:w="85" w:type="dxa"/>
            </w:tcMar>
          </w:tcPr>
          <w:p>
            <w:pPr>
              <w:spacing w:after="0" w:before="0" w:line="247" w:lineRule="auto"/>
            </w:pPr>
            <w:r/>
            <w:r>
              <w:rPr>
                <w:rFonts w:ascii="Aptos" w:hAnsi="Aptos"/>
                <w:b w:val="0"/>
                <w:color w:val="1F2937"/>
                <w:sz w:val="14"/>
              </w:rPr>
              <w:t>Linear trend (least squares)</w:t>
            </w:r>
          </w:p>
        </w:tc>
        <w:tc>
          <w:tcPr>
            <w:tcW w:type="dxa" w:w="3240"/>
            <w:vAlign w:val="center"/>
            <w:tcMar>
              <w:top w:w="80" w:type="dxa"/>
              <w:start w:w="85" w:type="dxa"/>
              <w:bottom w:w="80" w:type="dxa"/>
              <w:end w:w="85" w:type="dxa"/>
            </w:tcMar>
          </w:tcPr>
          <w:p>
            <w:pPr>
              <w:spacing w:after="0" w:before="0" w:line="247" w:lineRule="auto"/>
            </w:pPr>
            <w:r/>
            <w:r>
              <w:rPr>
                <w:rFonts w:ascii="Aptos" w:hAnsi="Aptos"/>
                <w:b w:val="0"/>
                <w:color w:val="1F2937"/>
                <w:sz w:val="14"/>
              </w:rPr>
              <w:t>Fit straight line to the four training values; extrapolate one step</w:t>
            </w:r>
          </w:p>
        </w:tc>
        <w:tc>
          <w:tcPr>
            <w:tcW w:type="dxa" w:w="1728"/>
            <w:vAlign w:val="center"/>
            <w:tcMar>
              <w:top w:w="80" w:type="dxa"/>
              <w:start w:w="85" w:type="dxa"/>
              <w:bottom w:w="80" w:type="dxa"/>
              <w:end w:w="85" w:type="dxa"/>
            </w:tcMar>
          </w:tcPr>
          <w:p>
            <w:pPr>
              <w:spacing w:after="0" w:before="0" w:line="247" w:lineRule="auto"/>
            </w:pPr>
            <w:r/>
            <w:r>
              <w:rPr>
                <w:rFonts w:ascii="Aptos" w:hAnsi="Aptos"/>
                <w:b w:val="0"/>
                <w:color w:val="1F2937"/>
                <w:sz w:val="14"/>
              </w:rPr>
              <w:t>453.77</w:t>
            </w:r>
          </w:p>
        </w:tc>
        <w:tc>
          <w:tcPr>
            <w:tcW w:type="dxa" w:w="1656"/>
            <w:vAlign w:val="center"/>
            <w:tcMar>
              <w:top w:w="80" w:type="dxa"/>
              <w:start w:w="85" w:type="dxa"/>
              <w:bottom w:w="80" w:type="dxa"/>
              <w:end w:w="85" w:type="dxa"/>
            </w:tcMar>
          </w:tcPr>
          <w:p>
            <w:pPr>
              <w:spacing w:after="0" w:before="0" w:line="247" w:lineRule="auto"/>
            </w:pPr>
            <w:r/>
            <w:r>
              <w:rPr>
                <w:rFonts w:ascii="Aptos" w:hAnsi="Aptos"/>
                <w:b w:val="0"/>
                <w:color w:val="1F2937"/>
                <w:sz w:val="14"/>
              </w:rPr>
              <w:t>97.17</w:t>
            </w:r>
          </w:p>
        </w:tc>
        <w:tc>
          <w:tcPr>
            <w:tcW w:type="dxa" w:w="1152"/>
            <w:vAlign w:val="center"/>
            <w:tcMar>
              <w:top w:w="80" w:type="dxa"/>
              <w:start w:w="85" w:type="dxa"/>
              <w:bottom w:w="80" w:type="dxa"/>
              <w:end w:w="85" w:type="dxa"/>
            </w:tcMar>
          </w:tcPr>
          <w:p>
            <w:pPr>
              <w:spacing w:after="0" w:before="0" w:line="247" w:lineRule="auto"/>
            </w:pPr>
            <w:r/>
            <w:r>
              <w:rPr>
                <w:rFonts w:ascii="Aptos" w:hAnsi="Aptos"/>
                <w:b w:val="0"/>
                <w:color w:val="1F2937"/>
                <w:sz w:val="14"/>
              </w:rPr>
              <w:t>17.64%</w:t>
            </w:r>
          </w:p>
        </w:tc>
      </w:tr>
      <w:tr>
        <w:trPr>
          <w:cantSplit/>
        </w:trPr>
        <w:tc>
          <w:tcPr>
            <w:tcW w:type="dxa" w:w="172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Comparison value</w:t>
            </w:r>
          </w:p>
        </w:tc>
        <w:tc>
          <w:tcPr>
            <w:tcW w:type="dxa" w:w="324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2025–26 Third Advance Estimate</w:t>
            </w:r>
          </w:p>
        </w:tc>
        <w:tc>
          <w:tcPr>
            <w:tcW w:type="dxa" w:w="172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550.93</w:t>
            </w:r>
          </w:p>
        </w:tc>
        <w:tc>
          <w:tcPr>
            <w:tcW w:type="dxa" w:w="165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w:t>
            </w:r>
          </w:p>
        </w:tc>
        <w:tc>
          <w:tcPr>
            <w:tcW w:type="dxa" w:w="115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w:t>
            </w:r>
          </w:p>
        </w:tc>
      </w:tr>
    </w:tbl>
    <w:p>
      <w:pPr>
        <w:spacing w:after="20"/>
      </w:pPr>
    </w:p>
    <w:p>
      <w:pPr>
        <w:spacing w:after="100" w:line="259" w:lineRule="auto"/>
      </w:pPr>
      <w:r>
        <w:t>Absolute error = |reference value − forecast|. Absolute percentage error = absolute error ÷ |reference value| × 100. In this one comparison the linear trend has the smallest absolute error, but a single test point cannot establish that it is generally the best method.</w:t>
      </w:r>
    </w:p>
    <w:p>
      <w:pPr>
        <w:jc w:val="center"/>
      </w:pPr>
      <w:r>
        <w:drawing>
          <wp:inline xmlns:a="http://schemas.openxmlformats.org/drawingml/2006/main" xmlns:pic="http://schemas.openxmlformats.org/drawingml/2006/picture">
            <wp:extent cx="5715000" cy="3234972"/>
            <wp:docPr id="4" name="Picture 4"/>
            <wp:cNvGraphicFramePr>
              <a:graphicFrameLocks noChangeAspect="1"/>
            </wp:cNvGraphicFramePr>
            <a:graphic>
              <a:graphicData uri="http://schemas.openxmlformats.org/drawingml/2006/picture">
                <pic:pic>
                  <pic:nvPicPr>
                    <pic:cNvPr id="0" name="maize_forecast_holdout.png"/>
                    <pic:cNvPicPr/>
                  </pic:nvPicPr>
                  <pic:blipFill>
                    <a:blip r:embed="rId14"/>
                    <a:stretch>
                      <a:fillRect/>
                    </a:stretch>
                  </pic:blipFill>
                  <pic:spPr>
                    <a:xfrm>
                      <a:off x="0" y="0"/>
                      <a:ext cx="5715000" cy="3234972"/>
                    </a:xfrm>
                    <a:prstGeom prst="rect"/>
                  </pic:spPr>
                </pic:pic>
              </a:graphicData>
            </a:graphic>
          </wp:inline>
        </w:drawing>
      </w:r>
    </w:p>
    <w:p>
      <w:pPr>
        <w:jc w:val="center"/>
      </w:pPr>
      <w:r>
        <w:rPr>
          <w:i/>
          <w:color w:val="5B6573"/>
          <w:sz w:val="16"/>
        </w:rPr>
        <w:t>Figure A1. Maize baseline forecasts compared with the 2025–26 Third Advance Estimate; this is one comparison point only.</w:t>
      </w:r>
    </w:p>
    <w:tbl>
      <w:tblPr>
        <w:tblStyle w:val="TableGrid"/>
        <w:tblW w:type="auto" w:w="0"/>
        <w:jc w:val="center"/>
        <w:tblLook w:firstColumn="1" w:firstRow="1" w:lastColumn="0" w:lastRow="0" w:noHBand="0" w:noVBand="1" w:val="04A0"/>
      </w:tblPr>
      <w:tblGrid>
        <w:gridCol w:w="9835"/>
      </w:tblGrid>
      <w:tr>
        <w:tc>
          <w:tcPr>
            <w:tcW w:type="dxa" w:w="9835"/>
            <w:shd w:fill="FFF4E5"/>
            <w:tcMar>
              <w:top w:w="110" w:type="dxa"/>
              <w:start w:w="140" w:type="dxa"/>
              <w:bottom w:w="110" w:type="dxa"/>
              <w:end w:w="140" w:type="dxa"/>
            </w:tcMar>
          </w:tcPr>
          <w:p>
            <w:pPr>
              <w:spacing w:after="40"/>
            </w:pPr>
            <w:r/>
            <w:r>
              <w:rPr>
                <w:b/>
                <w:color w:val="0F766E"/>
                <w:sz w:val="18"/>
              </w:rPr>
              <w:t xml:space="preserve">Important forecasting limitation  </w:t>
            </w:r>
            <w:r>
              <w:rPr>
                <w:color w:val="1F2937"/>
                <w:sz w:val="17"/>
              </w:rPr>
              <w:t>Five annual observations total provide very little history; only four observations train this example and only one point is used for comparison. These outputs are illustrative and do not validate a reliable predictive model. Use a longer consistent series, rolling-origin validation, and MAE/RMSE across multiple test periods before making reliability claims.</w:t>
            </w:r>
          </w:p>
        </w:tc>
      </w:tr>
    </w:tbl>
    <w:p>
      <w:pPr>
        <w:spacing w:after="20"/>
      </w:pPr>
    </w:p>
    <w:p>
      <w:r>
        <w:br w:type="page"/>
      </w:r>
    </w:p>
    <w:p>
      <w:pPr>
        <w:pStyle w:val="Heading2"/>
        <w:keepNext/>
      </w:pPr>
      <w:r>
        <w:t>B.2 Forward-only food-grain forecast illustration</w:t>
      </w:r>
    </w:p>
    <w:p>
      <w:pPr>
        <w:spacing w:after="100" w:line="259" w:lineRule="auto"/>
      </w:pPr>
      <w:r>
        <w:t>Using all five reported total food-grain values, three simple methods produce the values below for 2026–27. There is no observed 2026–27 comparison value in this project dataset, so no error can be calculated and no forecast accuracy is claimed.</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520"/>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Method</w:t>
            </w:r>
          </w:p>
        </w:tc>
        <w:tc>
          <w:tcPr>
            <w:tcW w:type="dxa" w:w="2880"/>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Illustrative 2026–27 value (lakh tonnes)</w:t>
            </w:r>
          </w:p>
        </w:tc>
        <w:tc>
          <w:tcPr>
            <w:tcW w:type="dxa" w:w="4032"/>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Interpretation</w:t>
            </w:r>
          </w:p>
        </w:tc>
      </w:tr>
      <w:tr>
        <w:trPr>
          <w:cantSplit/>
        </w:trPr>
        <w:tc>
          <w:tcPr>
            <w:tcW w:type="dxa" w:w="2520"/>
            <w:vAlign w:val="center"/>
            <w:tcMar>
              <w:top w:w="80" w:type="dxa"/>
              <w:start w:w="85" w:type="dxa"/>
              <w:bottom w:w="80" w:type="dxa"/>
              <w:end w:w="85" w:type="dxa"/>
            </w:tcMar>
          </w:tcPr>
          <w:p>
            <w:pPr>
              <w:spacing w:after="0" w:before="0" w:line="247" w:lineRule="auto"/>
            </w:pPr>
            <w:r/>
            <w:r>
              <w:rPr>
                <w:rFonts w:ascii="Aptos" w:hAnsi="Aptos"/>
                <w:b w:val="0"/>
                <w:color w:val="1F2937"/>
                <w:sz w:val="16"/>
              </w:rPr>
              <w:t>Naïve baseline</w:t>
            </w:r>
          </w:p>
        </w:tc>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6"/>
              </w:rPr>
              <w:t>3,765.63</w:t>
            </w:r>
          </w:p>
        </w:tc>
        <w:tc>
          <w:tcPr>
            <w:tcW w:type="dxa" w:w="4032"/>
            <w:vAlign w:val="center"/>
            <w:tcMar>
              <w:top w:w="80" w:type="dxa"/>
              <w:start w:w="85" w:type="dxa"/>
              <w:bottom w:w="80" w:type="dxa"/>
              <w:end w:w="85" w:type="dxa"/>
            </w:tcMar>
          </w:tcPr>
          <w:p>
            <w:pPr>
              <w:spacing w:after="0" w:before="0" w:line="247" w:lineRule="auto"/>
            </w:pPr>
            <w:r/>
            <w:r>
              <w:rPr>
                <w:rFonts w:ascii="Aptos" w:hAnsi="Aptos"/>
                <w:b w:val="0"/>
                <w:color w:val="1F2937"/>
                <w:sz w:val="16"/>
              </w:rPr>
              <w:t>Repeats the latest reported value</w:t>
            </w:r>
          </w:p>
        </w:tc>
      </w:tr>
      <w:tr>
        <w:trPr>
          <w:cantSplit/>
        </w:trPr>
        <w:tc>
          <w:tcPr>
            <w:tcW w:type="dxa" w:w="252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Three-year moving average</w:t>
            </w:r>
          </w:p>
        </w:tc>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3,555.31</w:t>
            </w:r>
          </w:p>
        </w:tc>
        <w:tc>
          <w:tcPr>
            <w:tcW w:type="dxa" w:w="40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Averages 2023–24 through 2025–26</w:t>
            </w:r>
          </w:p>
        </w:tc>
      </w:tr>
      <w:tr>
        <w:trPr>
          <w:cantSplit/>
        </w:trPr>
        <w:tc>
          <w:tcPr>
            <w:tcW w:type="dxa" w:w="2520"/>
            <w:vAlign w:val="center"/>
            <w:tcMar>
              <w:top w:w="80" w:type="dxa"/>
              <w:start w:w="85" w:type="dxa"/>
              <w:bottom w:w="80" w:type="dxa"/>
              <w:end w:w="85" w:type="dxa"/>
            </w:tcMar>
          </w:tcPr>
          <w:p>
            <w:pPr>
              <w:spacing w:after="0" w:before="0" w:line="247" w:lineRule="auto"/>
            </w:pPr>
            <w:r/>
            <w:r>
              <w:rPr>
                <w:rFonts w:ascii="Aptos" w:hAnsi="Aptos"/>
                <w:b w:val="0"/>
                <w:color w:val="1F2937"/>
                <w:sz w:val="16"/>
              </w:rPr>
              <w:t>Linear trend (least squares)</w:t>
            </w:r>
          </w:p>
        </w:tc>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6"/>
              </w:rPr>
              <w:t>3,873.61</w:t>
            </w:r>
          </w:p>
        </w:tc>
        <w:tc>
          <w:tcPr>
            <w:tcW w:type="dxa" w:w="4032"/>
            <w:vAlign w:val="center"/>
            <w:tcMar>
              <w:top w:w="80" w:type="dxa"/>
              <w:start w:w="85" w:type="dxa"/>
              <w:bottom w:w="80" w:type="dxa"/>
              <w:end w:w="85" w:type="dxa"/>
            </w:tcMar>
          </w:tcPr>
          <w:p>
            <w:pPr>
              <w:spacing w:after="0" w:before="0" w:line="247" w:lineRule="auto"/>
            </w:pPr>
            <w:r/>
            <w:r>
              <w:rPr>
                <w:rFonts w:ascii="Aptos" w:hAnsi="Aptos"/>
                <w:b w:val="0"/>
                <w:color w:val="1F2937"/>
                <w:sz w:val="16"/>
              </w:rPr>
              <w:t>Extends a straight-line fit across five annual observations</w:t>
            </w:r>
          </w:p>
        </w:tc>
      </w:tr>
    </w:tbl>
    <w:p>
      <w:pPr>
        <w:spacing w:after="20"/>
      </w:pPr>
    </w:p>
    <w:p>
      <w:pPr>
        <w:pStyle w:val="Heading2"/>
        <w:keepNext/>
      </w:pPr>
      <w:r>
        <w:t>B.3 Hypothetical price-spread calculation (not observed market data)</w:t>
      </w:r>
    </w:p>
    <w:p>
      <w:pPr>
        <w:spacing w:after="100" w:line="259" w:lineRule="auto"/>
      </w:pPr>
      <w:r>
        <w:t>The supplied DA&amp;FW crop-statistics table contains area, production and yield. It does not contain actual farm-gate, wholesale or retail prices. The following invented prices show the calculation only; they must not be reported as measured Indian market prices.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880"/>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Supply-chain stage</w:t>
            </w:r>
          </w:p>
        </w:tc>
        <w:tc>
          <w:tcPr>
            <w:tcW w:type="dxa" w:w="2880"/>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Illustrative price (₹/kg)</w:t>
            </w:r>
          </w:p>
        </w:tc>
        <w:tc>
          <w:tcPr>
            <w:tcW w:type="dxa" w:w="3888"/>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Difference from prior stage</w:t>
            </w:r>
          </w:p>
        </w:tc>
      </w:tr>
      <w:tr>
        <w:trPr>
          <w:cantSplit/>
        </w:trPr>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6"/>
              </w:rPr>
              <w:t>Farm-gate</w:t>
            </w:r>
          </w:p>
        </w:tc>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6"/>
              </w:rPr>
              <w:t>18.00</w:t>
            </w:r>
          </w:p>
        </w:tc>
        <w:tc>
          <w:tcPr>
            <w:tcW w:type="dxa" w:w="3888"/>
            <w:vAlign w:val="center"/>
            <w:tcMar>
              <w:top w:w="80" w:type="dxa"/>
              <w:start w:w="85" w:type="dxa"/>
              <w:bottom w:w="80" w:type="dxa"/>
              <w:end w:w="85" w:type="dxa"/>
            </w:tcMar>
          </w:tcPr>
          <w:p>
            <w:pPr>
              <w:spacing w:after="0" w:before="0" w:line="247" w:lineRule="auto"/>
            </w:pPr>
            <w:r/>
            <w:r>
              <w:rPr>
                <w:rFonts w:ascii="Aptos" w:hAnsi="Aptos"/>
                <w:b w:val="0"/>
                <w:color w:val="1F2937"/>
                <w:sz w:val="16"/>
              </w:rPr>
              <w:t>—</w:t>
            </w:r>
          </w:p>
        </w:tc>
      </w:tr>
      <w:tr>
        <w:trPr>
          <w:cantSplit/>
        </w:trPr>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Wholesale</w:t>
            </w:r>
          </w:p>
        </w:tc>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24.00</w:t>
            </w:r>
          </w:p>
        </w:tc>
        <w:tc>
          <w:tcPr>
            <w:tcW w:type="dxa" w:w="388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+₹6.00/kg versus farm-gate</w:t>
            </w:r>
          </w:p>
        </w:tc>
      </w:tr>
      <w:tr>
        <w:trPr>
          <w:cantSplit/>
        </w:trPr>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6"/>
              </w:rPr>
              <w:t>Retail</w:t>
            </w:r>
          </w:p>
        </w:tc>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6"/>
              </w:rPr>
              <w:t>32.00</w:t>
            </w:r>
          </w:p>
        </w:tc>
        <w:tc>
          <w:tcPr>
            <w:tcW w:type="dxa" w:w="3888"/>
            <w:vAlign w:val="center"/>
            <w:tcMar>
              <w:top w:w="80" w:type="dxa"/>
              <w:start w:w="85" w:type="dxa"/>
              <w:bottom w:w="80" w:type="dxa"/>
              <w:end w:w="85" w:type="dxa"/>
            </w:tcMar>
          </w:tcPr>
          <w:p>
            <w:pPr>
              <w:spacing w:after="0" w:before="0" w:line="247" w:lineRule="auto"/>
            </w:pPr>
            <w:r/>
            <w:r>
              <w:rPr>
                <w:rFonts w:ascii="Aptos" w:hAnsi="Aptos"/>
                <w:b w:val="0"/>
                <w:color w:val="1F2937"/>
                <w:sz w:val="16"/>
              </w:rPr>
              <w:t>+₹8.00/kg versus wholesale</w:t>
            </w:r>
          </w:p>
        </w:tc>
      </w:tr>
      <w:tr>
        <w:trPr>
          <w:cantSplit/>
        </w:trPr>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Farm-gate-to-retail spread</w:t>
            </w:r>
          </w:p>
        </w:tc>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₹14.00/kg</w:t>
            </w:r>
          </w:p>
        </w:tc>
        <w:tc>
          <w:tcPr>
            <w:tcW w:type="dxa" w:w="388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₹32 − ₹18</w:t>
            </w:r>
          </w:p>
        </w:tc>
      </w:tr>
    </w:tbl>
    <w:p>
      <w:pPr>
        <w:spacing w:after="20"/>
      </w:pPr>
    </w:p>
    <w:p>
      <w:pPr>
        <w:spacing w:after="100" w:line="259" w:lineRule="auto"/>
      </w:pPr>
      <w:r>
        <w:t>A price spread is not the same as the farmer’s profit or the retailer’s net margin. Transport, handling, commissions, grading, storage, spoilage, labour, rent and financing can occur between stages. To calculate a real spread, collect market-date-crop-specific records and align price units and grades.</w:t>
      </w:r>
    </w:p>
    <w:p>
      <w:pPr>
        <w:pStyle w:val="Heading2"/>
        <w:keepNext/>
      </w:pPr>
      <w:r>
        <w:t>B.4 Hypothetical post-harvest loss calculation (not observed loss data)</w:t>
      </w:r>
    </w:p>
    <w:p>
      <w:pPr>
        <w:spacing w:after="100" w:line="259" w:lineRule="auto"/>
      </w:pPr>
      <w:r>
        <w:t>Assume 1,000 kg is harvested and illustrative losses are 2% at collection, 4% during storage, and 2% during transport. Each stage percentage applies to the quantity entering that stage.</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2232"/>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Stage</w:t>
            </w:r>
          </w:p>
        </w:tc>
        <w:tc>
          <w:tcPr>
            <w:tcW w:type="dxa" w:w="1800"/>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Input (kg)</w:t>
            </w:r>
          </w:p>
        </w:tc>
        <w:tc>
          <w:tcPr>
            <w:tcW w:type="dxa" w:w="1800"/>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Assumed loss rate</w:t>
            </w:r>
          </w:p>
        </w:tc>
        <w:tc>
          <w:tcPr>
            <w:tcW w:type="dxa" w:w="1728"/>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Loss (kg)</w:t>
            </w:r>
          </w:p>
        </w:tc>
        <w:tc>
          <w:tcPr>
            <w:tcW w:type="dxa" w:w="1944"/>
            <w:vAlign w:val="center"/>
            <w:tcMar>
              <w:top w:w="80" w:type="dxa"/>
              <w:start w:w="85" w:type="dxa"/>
              <w:bottom w:w="80" w:type="dxa"/>
              <w:end w:w="85" w:type="dxa"/>
            </w:tcMar>
            <w:shd w:fill="17365D"/>
          </w:tcPr>
          <w:p>
            <w:pPr>
              <w:spacing w:after="0" w:before="0" w:line="247" w:lineRule="auto"/>
            </w:pPr>
            <w:r/>
            <w:r>
              <w:rPr>
                <w:rFonts w:ascii="Aptos" w:hAnsi="Aptos"/>
                <w:b/>
                <w:color w:val="FFFFFF"/>
                <w:sz w:val="16"/>
              </w:rPr>
              <w:t>Output (kg)</w:t>
            </w:r>
          </w:p>
        </w:tc>
      </w:tr>
      <w:tr>
        <w:trPr>
          <w:cantSplit/>
        </w:trPr>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6"/>
              </w:rPr>
              <w:t>Harvested quantity</w:t>
            </w:r>
          </w:p>
        </w:tc>
        <w:tc>
          <w:tcPr>
            <w:tcW w:type="dxa" w:w="1800"/>
            <w:vAlign w:val="center"/>
            <w:tcMar>
              <w:top w:w="80" w:type="dxa"/>
              <w:start w:w="85" w:type="dxa"/>
              <w:bottom w:w="80" w:type="dxa"/>
              <w:end w:w="85" w:type="dxa"/>
            </w:tcMar>
          </w:tcPr>
          <w:p>
            <w:pPr>
              <w:spacing w:after="0" w:before="0" w:line="247" w:lineRule="auto"/>
            </w:pPr>
            <w:r/>
            <w:r>
              <w:rPr>
                <w:rFonts w:ascii="Aptos" w:hAnsi="Aptos"/>
                <w:b w:val="0"/>
                <w:color w:val="1F2937"/>
                <w:sz w:val="16"/>
              </w:rPr>
              <w:t>1,000.00</w:t>
            </w:r>
          </w:p>
        </w:tc>
        <w:tc>
          <w:tcPr>
            <w:tcW w:type="dxa" w:w="1800"/>
            <w:vAlign w:val="center"/>
            <w:tcMar>
              <w:top w:w="80" w:type="dxa"/>
              <w:start w:w="85" w:type="dxa"/>
              <w:bottom w:w="80" w:type="dxa"/>
              <w:end w:w="85" w:type="dxa"/>
            </w:tcMar>
          </w:tcPr>
          <w:p>
            <w:pPr>
              <w:spacing w:after="0" w:before="0" w:line="247" w:lineRule="auto"/>
            </w:pPr>
            <w:r/>
            <w:r>
              <w:rPr>
                <w:rFonts w:ascii="Aptos" w:hAnsi="Aptos"/>
                <w:b w:val="0"/>
                <w:color w:val="1F2937"/>
                <w:sz w:val="16"/>
              </w:rPr>
              <w:t>—</w:t>
            </w:r>
          </w:p>
        </w:tc>
        <w:tc>
          <w:tcPr>
            <w:tcW w:type="dxa" w:w="1728"/>
            <w:vAlign w:val="center"/>
            <w:tcMar>
              <w:top w:w="80" w:type="dxa"/>
              <w:start w:w="85" w:type="dxa"/>
              <w:bottom w:w="80" w:type="dxa"/>
              <w:end w:w="85" w:type="dxa"/>
            </w:tcMar>
          </w:tcPr>
          <w:p>
            <w:pPr>
              <w:spacing w:after="0" w:before="0" w:line="247" w:lineRule="auto"/>
            </w:pPr>
            <w:r/>
            <w:r>
              <w:rPr>
                <w:rFonts w:ascii="Aptos" w:hAnsi="Aptos"/>
                <w:b w:val="0"/>
                <w:color w:val="1F2937"/>
                <w:sz w:val="16"/>
              </w:rPr>
              <w:t>0.00</w:t>
            </w:r>
          </w:p>
        </w:tc>
        <w:tc>
          <w:tcPr>
            <w:tcW w:type="dxa" w:w="1944"/>
            <w:vAlign w:val="center"/>
            <w:tcMar>
              <w:top w:w="80" w:type="dxa"/>
              <w:start w:w="85" w:type="dxa"/>
              <w:bottom w:w="80" w:type="dxa"/>
              <w:end w:w="85" w:type="dxa"/>
            </w:tcMar>
          </w:tcPr>
          <w:p>
            <w:pPr>
              <w:spacing w:after="0" w:before="0" w:line="247" w:lineRule="auto"/>
            </w:pPr>
            <w:r/>
            <w:r>
              <w:rPr>
                <w:rFonts w:ascii="Aptos" w:hAnsi="Aptos"/>
                <w:b w:val="0"/>
                <w:color w:val="1F2937"/>
                <w:sz w:val="16"/>
              </w:rPr>
              <w:t>1,000.00</w:t>
            </w:r>
          </w:p>
        </w:tc>
      </w:tr>
      <w:tr>
        <w:trPr>
          <w:cantSplit/>
        </w:trPr>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Collection</w:t>
            </w:r>
          </w:p>
        </w:tc>
        <w:tc>
          <w:tcPr>
            <w:tcW w:type="dxa" w:w="180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1,000.00</w:t>
            </w:r>
          </w:p>
        </w:tc>
        <w:tc>
          <w:tcPr>
            <w:tcW w:type="dxa" w:w="180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2%</w:t>
            </w:r>
          </w:p>
        </w:tc>
        <w:tc>
          <w:tcPr>
            <w:tcW w:type="dxa" w:w="172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20.00</w:t>
            </w:r>
          </w:p>
        </w:tc>
        <w:tc>
          <w:tcPr>
            <w:tcW w:type="dxa" w:w="1944"/>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980.00</w:t>
            </w:r>
          </w:p>
        </w:tc>
      </w:tr>
      <w:tr>
        <w:trPr>
          <w:cantSplit/>
        </w:trPr>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6"/>
              </w:rPr>
              <w:t>Storage</w:t>
            </w:r>
          </w:p>
        </w:tc>
        <w:tc>
          <w:tcPr>
            <w:tcW w:type="dxa" w:w="1800"/>
            <w:vAlign w:val="center"/>
            <w:tcMar>
              <w:top w:w="80" w:type="dxa"/>
              <w:start w:w="85" w:type="dxa"/>
              <w:bottom w:w="80" w:type="dxa"/>
              <w:end w:w="85" w:type="dxa"/>
            </w:tcMar>
          </w:tcPr>
          <w:p>
            <w:pPr>
              <w:spacing w:after="0" w:before="0" w:line="247" w:lineRule="auto"/>
            </w:pPr>
            <w:r/>
            <w:r>
              <w:rPr>
                <w:rFonts w:ascii="Aptos" w:hAnsi="Aptos"/>
                <w:b w:val="0"/>
                <w:color w:val="1F2937"/>
                <w:sz w:val="16"/>
              </w:rPr>
              <w:t>980.00</w:t>
            </w:r>
          </w:p>
        </w:tc>
        <w:tc>
          <w:tcPr>
            <w:tcW w:type="dxa" w:w="1800"/>
            <w:vAlign w:val="center"/>
            <w:tcMar>
              <w:top w:w="80" w:type="dxa"/>
              <w:start w:w="85" w:type="dxa"/>
              <w:bottom w:w="80" w:type="dxa"/>
              <w:end w:w="85" w:type="dxa"/>
            </w:tcMar>
          </w:tcPr>
          <w:p>
            <w:pPr>
              <w:spacing w:after="0" w:before="0" w:line="247" w:lineRule="auto"/>
            </w:pPr>
            <w:r/>
            <w:r>
              <w:rPr>
                <w:rFonts w:ascii="Aptos" w:hAnsi="Aptos"/>
                <w:b w:val="0"/>
                <w:color w:val="1F2937"/>
                <w:sz w:val="16"/>
              </w:rPr>
              <w:t>4%</w:t>
            </w:r>
          </w:p>
        </w:tc>
        <w:tc>
          <w:tcPr>
            <w:tcW w:type="dxa" w:w="1728"/>
            <w:vAlign w:val="center"/>
            <w:tcMar>
              <w:top w:w="80" w:type="dxa"/>
              <w:start w:w="85" w:type="dxa"/>
              <w:bottom w:w="80" w:type="dxa"/>
              <w:end w:w="85" w:type="dxa"/>
            </w:tcMar>
          </w:tcPr>
          <w:p>
            <w:pPr>
              <w:spacing w:after="0" w:before="0" w:line="247" w:lineRule="auto"/>
            </w:pPr>
            <w:r/>
            <w:r>
              <w:rPr>
                <w:rFonts w:ascii="Aptos" w:hAnsi="Aptos"/>
                <w:b w:val="0"/>
                <w:color w:val="1F2937"/>
                <w:sz w:val="16"/>
              </w:rPr>
              <w:t>39.20</w:t>
            </w:r>
          </w:p>
        </w:tc>
        <w:tc>
          <w:tcPr>
            <w:tcW w:type="dxa" w:w="1944"/>
            <w:vAlign w:val="center"/>
            <w:tcMar>
              <w:top w:w="80" w:type="dxa"/>
              <w:start w:w="85" w:type="dxa"/>
              <w:bottom w:w="80" w:type="dxa"/>
              <w:end w:w="85" w:type="dxa"/>
            </w:tcMar>
          </w:tcPr>
          <w:p>
            <w:pPr>
              <w:spacing w:after="0" w:before="0" w:line="247" w:lineRule="auto"/>
            </w:pPr>
            <w:r/>
            <w:r>
              <w:rPr>
                <w:rFonts w:ascii="Aptos" w:hAnsi="Aptos"/>
                <w:b w:val="0"/>
                <w:color w:val="1F2937"/>
                <w:sz w:val="16"/>
              </w:rPr>
              <w:t>940.80</w:t>
            </w:r>
          </w:p>
        </w:tc>
      </w:tr>
      <w:tr>
        <w:trPr>
          <w:cantSplit/>
        </w:trPr>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Transport</w:t>
            </w:r>
          </w:p>
        </w:tc>
        <w:tc>
          <w:tcPr>
            <w:tcW w:type="dxa" w:w="180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940.80</w:t>
            </w:r>
          </w:p>
        </w:tc>
        <w:tc>
          <w:tcPr>
            <w:tcW w:type="dxa" w:w="180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2%</w:t>
            </w:r>
          </w:p>
        </w:tc>
        <w:tc>
          <w:tcPr>
            <w:tcW w:type="dxa" w:w="1728"/>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18.82</w:t>
            </w:r>
          </w:p>
        </w:tc>
        <w:tc>
          <w:tcPr>
            <w:tcW w:type="dxa" w:w="1944"/>
            <w:vAlign w:val="center"/>
            <w:tcMar>
              <w:top w:w="80" w:type="dxa"/>
              <w:start w:w="85" w:type="dxa"/>
              <w:bottom w:w="80" w:type="dxa"/>
              <w:end w:w="85" w:type="dxa"/>
            </w:tcMar>
            <w:shd w:fill="F7F9FB"/>
          </w:tcPr>
          <w:p>
            <w:pPr>
              <w:spacing w:after="0" w:before="0" w:line="247" w:lineRule="auto"/>
            </w:pPr>
            <w:r/>
            <w:r>
              <w:rPr>
                <w:rFonts w:ascii="Aptos" w:hAnsi="Aptos"/>
                <w:b w:val="0"/>
                <w:color w:val="1F2937"/>
                <w:sz w:val="16"/>
              </w:rPr>
              <w:t>921.98</w:t>
            </w:r>
          </w:p>
        </w:tc>
      </w:tr>
      <w:tr>
        <w:trPr>
          <w:cantSplit/>
        </w:trPr>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6"/>
              </w:rPr>
              <w:t>Total</w:t>
            </w:r>
          </w:p>
        </w:tc>
        <w:tc>
          <w:tcPr>
            <w:tcW w:type="dxa" w:w="1800"/>
            <w:vAlign w:val="center"/>
            <w:tcMar>
              <w:top w:w="80" w:type="dxa"/>
              <w:start w:w="85" w:type="dxa"/>
              <w:bottom w:w="80" w:type="dxa"/>
              <w:end w:w="85" w:type="dxa"/>
            </w:tcMar>
          </w:tcPr>
          <w:p>
            <w:pPr>
              <w:spacing w:after="0" w:before="0" w:line="247" w:lineRule="auto"/>
            </w:pPr>
            <w:r/>
            <w:r>
              <w:rPr>
                <w:rFonts w:ascii="Aptos" w:hAnsi="Aptos"/>
                <w:b w:val="0"/>
                <w:color w:val="1F2937"/>
                <w:sz w:val="16"/>
              </w:rPr>
              <w:t>1,000.00</w:t>
            </w:r>
          </w:p>
        </w:tc>
        <w:tc>
          <w:tcPr>
            <w:tcW w:type="dxa" w:w="1800"/>
            <w:vAlign w:val="center"/>
            <w:tcMar>
              <w:top w:w="80" w:type="dxa"/>
              <w:start w:w="85" w:type="dxa"/>
              <w:bottom w:w="80" w:type="dxa"/>
              <w:end w:w="85" w:type="dxa"/>
            </w:tcMar>
          </w:tcPr>
          <w:p>
            <w:pPr>
              <w:spacing w:after="0" w:before="0" w:line="247" w:lineRule="auto"/>
            </w:pPr>
            <w:r/>
            <w:r>
              <w:rPr>
                <w:rFonts w:ascii="Aptos" w:hAnsi="Aptos"/>
                <w:b w:val="0"/>
                <w:color w:val="1F2937"/>
                <w:sz w:val="16"/>
              </w:rPr>
              <w:t>7.80% net loss</w:t>
            </w:r>
          </w:p>
        </w:tc>
        <w:tc>
          <w:tcPr>
            <w:tcW w:type="dxa" w:w="1728"/>
            <w:vAlign w:val="center"/>
            <w:tcMar>
              <w:top w:w="80" w:type="dxa"/>
              <w:start w:w="85" w:type="dxa"/>
              <w:bottom w:w="80" w:type="dxa"/>
              <w:end w:w="85" w:type="dxa"/>
            </w:tcMar>
          </w:tcPr>
          <w:p>
            <w:pPr>
              <w:spacing w:after="0" w:before="0" w:line="247" w:lineRule="auto"/>
            </w:pPr>
            <w:r/>
            <w:r>
              <w:rPr>
                <w:rFonts w:ascii="Aptos" w:hAnsi="Aptos"/>
                <w:b w:val="0"/>
                <w:color w:val="1F2937"/>
                <w:sz w:val="16"/>
              </w:rPr>
              <w:t>78.02</w:t>
            </w:r>
          </w:p>
        </w:tc>
        <w:tc>
          <w:tcPr>
            <w:tcW w:type="dxa" w:w="1944"/>
            <w:vAlign w:val="center"/>
            <w:tcMar>
              <w:top w:w="80" w:type="dxa"/>
              <w:start w:w="85" w:type="dxa"/>
              <w:bottom w:w="80" w:type="dxa"/>
              <w:end w:w="85" w:type="dxa"/>
            </w:tcMar>
          </w:tcPr>
          <w:p>
            <w:pPr>
              <w:spacing w:after="0" w:before="0" w:line="247" w:lineRule="auto"/>
            </w:pPr>
            <w:r/>
            <w:r>
              <w:rPr>
                <w:rFonts w:ascii="Aptos" w:hAnsi="Aptos"/>
                <w:b w:val="0"/>
                <w:color w:val="1F2937"/>
                <w:sz w:val="16"/>
              </w:rPr>
              <w:t>921.98</w:t>
            </w:r>
          </w:p>
        </w:tc>
      </w:tr>
    </w:tbl>
    <w:p>
      <w:pPr>
        <w:spacing w:after="20"/>
      </w:pPr>
    </w:p>
    <w:p>
      <w:pPr>
        <w:spacing w:after="100" w:line="259" w:lineRule="auto"/>
      </w:pPr>
      <w:r>
        <w:t>Net loss percentage = (starting quantity − final saleable quantity) ÷ starting quantity × 100 = (1,000 − 921.984) ÷ 1,000 × 100 ≈ 7.80%. This is a transparent worked example using assumed rates. Replace the rates with measured, crop-specific weights before drawing real conclusions.</w:t>
      </w:r>
    </w:p>
    <w:p>
      <w:r>
        <w:br w:type="page"/>
      </w:r>
    </w:p>
    <w:p>
      <w:pPr>
        <w:pStyle w:val="Heading1"/>
        <w:keepNext/>
      </w:pPr>
      <w:r>
        <w:t>APPENDIX C | REPRODUCIBLE CODE, DATA AND QUALITY CONTROLS</w:t>
      </w:r>
    </w:p>
    <w:p>
      <w:pPr>
        <w:spacing w:after="100" w:line="259" w:lineRule="auto"/>
      </w:pPr>
      <w:r>
        <w:t>A report is reproducible when another person can rerun the documented steps and regenerate the results from the same source dataset. The companion ZIP contains the script, notebook, selected source-data CSV, source PDF, output tables, charts and instructions.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880"/>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File / output</w:t>
            </w:r>
          </w:p>
        </w:tc>
        <w:tc>
          <w:tcPr>
            <w:tcW w:type="dxa" w:w="3816"/>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Purpose</w:t>
            </w:r>
          </w:p>
        </w:tc>
        <w:tc>
          <w:tcPr>
            <w:tcW w:type="dxa" w:w="2880"/>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What to verify</w:t>
            </w:r>
          </w:p>
        </w:tc>
      </w:tr>
      <w:tr>
        <w:trPr>
          <w:cantSplit/>
        </w:trPr>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crop_statistics_selected_all_india.csv</w:t>
            </w:r>
          </w:p>
        </w:tc>
        <w:tc>
          <w:tcPr>
            <w:tcW w:type="dxa" w:w="3816"/>
            <w:vAlign w:val="center"/>
            <w:tcMar>
              <w:top w:w="80" w:type="dxa"/>
              <w:start w:w="85" w:type="dxa"/>
              <w:bottom w:w="80" w:type="dxa"/>
              <w:end w:w="85" w:type="dxa"/>
            </w:tcMar>
          </w:tcPr>
          <w:p>
            <w:pPr>
              <w:spacing w:after="0" w:before="0" w:line="247" w:lineRule="auto"/>
            </w:pPr>
            <w:r/>
            <w:r>
              <w:rPr>
                <w:rFonts w:ascii="Aptos" w:hAnsi="Aptos"/>
                <w:b w:val="0"/>
                <w:color w:val="1F2937"/>
                <w:sz w:val="14"/>
              </w:rPr>
              <w:t>Selected data rows covering eight crop/aggregate groups across five agricultural years (40 rows).</w:t>
            </w:r>
          </w:p>
        </w:tc>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Each row has crop, year, area, production, production unit, yield and estimate status.</w:t>
            </w:r>
          </w:p>
        </w:tc>
      </w:tr>
      <w:tr>
        <w:trPr>
          <w:cantSplit/>
        </w:trPr>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source_DAandFW_crop_statistics_2025_26.pdf</w:t>
            </w:r>
          </w:p>
        </w:tc>
        <w:tc>
          <w:tcPr>
            <w:tcW w:type="dxa" w:w="381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Source copy supplied for the project.</w:t>
            </w:r>
          </w:p>
        </w:tc>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2025–26 must be labelled Third Advance Estimate; review units and notes.</w:t>
            </w:r>
          </w:p>
        </w:tc>
      </w:tr>
      <w:tr>
        <w:trPr>
          <w:cantSplit/>
        </w:trPr>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analyze_agri_data.py</w:t>
            </w:r>
          </w:p>
        </w:tc>
        <w:tc>
          <w:tcPr>
            <w:tcW w:type="dxa" w:w="3816"/>
            <w:vAlign w:val="center"/>
            <w:tcMar>
              <w:top w:w="80" w:type="dxa"/>
              <w:start w:w="85" w:type="dxa"/>
              <w:bottom w:w="80" w:type="dxa"/>
              <w:end w:w="85" w:type="dxa"/>
            </w:tcMar>
          </w:tcPr>
          <w:p>
            <w:pPr>
              <w:spacing w:after="0" w:before="0" w:line="247" w:lineRule="auto"/>
            </w:pPr>
            <w:r/>
            <w:r>
              <w:rPr>
                <w:rFonts w:ascii="Aptos" w:hAnsi="Aptos"/>
                <w:b w:val="0"/>
                <w:color w:val="1F2937"/>
                <w:sz w:val="14"/>
              </w:rPr>
              <w:t>Loads and validates the CSV; calculates endpoint changes, year-over-year changes, forecast comparisons and hypothetical teaching examples; creates charts and outputs.</w:t>
            </w:r>
          </w:p>
        </w:tc>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Run from the package folder with the listed dependencies.</w:t>
            </w:r>
          </w:p>
        </w:tc>
      </w:tr>
      <w:tr>
        <w:trPr>
          <w:cantSplit/>
        </w:trPr>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Agribusiness_Data_Analysis_Reproducible.ipynb</w:t>
            </w:r>
          </w:p>
        </w:tc>
        <w:tc>
          <w:tcPr>
            <w:tcW w:type="dxa" w:w="381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Interactive workflow showing validation, descriptive analysis, forecast calculations and labelled scenarios.</w:t>
            </w:r>
          </w:p>
        </w:tc>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Run cells in order; keep the CSV beside the notebook.</w:t>
            </w:r>
          </w:p>
        </w:tc>
      </w:tr>
      <w:tr>
        <w:trPr>
          <w:cantSplit/>
        </w:trPr>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outputs/data_quality_audit.csv</w:t>
            </w:r>
          </w:p>
        </w:tc>
        <w:tc>
          <w:tcPr>
            <w:tcW w:type="dxa" w:w="3816"/>
            <w:vAlign w:val="center"/>
            <w:tcMar>
              <w:top w:w="80" w:type="dxa"/>
              <w:start w:w="85" w:type="dxa"/>
              <w:bottom w:w="80" w:type="dxa"/>
              <w:end w:w="85" w:type="dxa"/>
            </w:tcMar>
          </w:tcPr>
          <w:p>
            <w:pPr>
              <w:spacing w:after="0" w:before="0" w:line="247" w:lineRule="auto"/>
            </w:pPr>
            <w:r/>
            <w:r>
              <w:rPr>
                <w:rFonts w:ascii="Aptos" w:hAnsi="Aptos"/>
                <w:b w:val="0"/>
                <w:color w:val="1F2937"/>
                <w:sz w:val="14"/>
              </w:rPr>
              <w:t>Machine-readable basic checks for row count, unique keys, year coverage, missingness, negative values and unit consistency.</w:t>
            </w:r>
          </w:p>
        </w:tc>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These are structural checks and do not replace checking the transcription against every source row.</w:t>
            </w:r>
          </w:p>
        </w:tc>
      </w:tr>
      <w:tr>
        <w:trPr>
          <w:cantSplit/>
        </w:trPr>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outputs/endpoint_change_metrics.csv</w:t>
            </w:r>
          </w:p>
        </w:tc>
        <w:tc>
          <w:tcPr>
            <w:tcW w:type="dxa" w:w="381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Change percentages for area, production and yield for the selected crop groups.</w:t>
            </w:r>
          </w:p>
        </w:tc>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Interpret percent changes within a crop’s consistent unit.</w:t>
            </w:r>
          </w:p>
        </w:tc>
      </w:tr>
      <w:tr>
        <w:trPr>
          <w:cantSplit/>
        </w:trPr>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outputs/maize_forecast_holdout_comparison.csv</w:t>
            </w:r>
          </w:p>
        </w:tc>
        <w:tc>
          <w:tcPr>
            <w:tcW w:type="dxa" w:w="3816"/>
            <w:vAlign w:val="center"/>
            <w:tcMar>
              <w:top w:w="80" w:type="dxa"/>
              <w:start w:w="85" w:type="dxa"/>
              <w:bottom w:w="80" w:type="dxa"/>
              <w:end w:w="85" w:type="dxa"/>
            </w:tcMar>
          </w:tcPr>
          <w:p>
            <w:pPr>
              <w:spacing w:after="0" w:before="0" w:line="247" w:lineRule="auto"/>
            </w:pPr>
            <w:r/>
            <w:r>
              <w:rPr>
                <w:rFonts w:ascii="Aptos" w:hAnsi="Aptos"/>
                <w:b w:val="0"/>
                <w:color w:val="1F2937"/>
                <w:sz w:val="14"/>
              </w:rPr>
              <w:t>Naïve, moving-average and trend forecasts with absolute error and absolute percentage error for one holdout value.</w:t>
            </w:r>
          </w:p>
        </w:tc>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Single comparison point only; not a validated forecasting result.</w:t>
            </w:r>
          </w:p>
        </w:tc>
      </w:tr>
      <w:tr>
        <w:trPr>
          <w:cantSplit/>
        </w:trPr>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outputs/foodgrains_2026_27_illustrative_forecasts.csv</w:t>
            </w:r>
          </w:p>
        </w:tc>
        <w:tc>
          <w:tcPr>
            <w:tcW w:type="dxa" w:w="381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Three illustrative next-year projections for total food grains.</w:t>
            </w:r>
          </w:p>
        </w:tc>
        <w:tc>
          <w:tcPr>
            <w:tcW w:type="dxa" w:w="2880"/>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No actual 2026–27 value; do not describe as validated accuracy.</w:t>
            </w:r>
          </w:p>
        </w:tc>
      </w:tr>
      <w:tr>
        <w:trPr>
          <w:cantSplit/>
        </w:trPr>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outputs/hypothetical_price_spread_scenario.csv and outputs/hypothetical_supply_chain_loss_scenario.csv</w:t>
            </w:r>
          </w:p>
        </w:tc>
        <w:tc>
          <w:tcPr>
            <w:tcW w:type="dxa" w:w="3816"/>
            <w:vAlign w:val="center"/>
            <w:tcMar>
              <w:top w:w="80" w:type="dxa"/>
              <w:start w:w="85" w:type="dxa"/>
              <w:bottom w:w="80" w:type="dxa"/>
              <w:end w:w="85" w:type="dxa"/>
            </w:tcMar>
          </w:tcPr>
          <w:p>
            <w:pPr>
              <w:spacing w:after="0" w:before="0" w:line="247" w:lineRule="auto"/>
            </w:pPr>
            <w:r/>
            <w:r>
              <w:rPr>
                <w:rFonts w:ascii="Aptos" w:hAnsi="Aptos"/>
                <w:b w:val="0"/>
                <w:color w:val="1F2937"/>
                <w:sz w:val="14"/>
              </w:rPr>
              <w:t>Transparent price-spread and staged-loss calculation examples.</w:t>
            </w:r>
          </w:p>
        </w:tc>
        <w:tc>
          <w:tcPr>
            <w:tcW w:type="dxa" w:w="2880"/>
            <w:vAlign w:val="center"/>
            <w:tcMar>
              <w:top w:w="80" w:type="dxa"/>
              <w:start w:w="85" w:type="dxa"/>
              <w:bottom w:w="80" w:type="dxa"/>
              <w:end w:w="85" w:type="dxa"/>
            </w:tcMar>
          </w:tcPr>
          <w:p>
            <w:pPr>
              <w:spacing w:after="0" w:before="0" w:line="247" w:lineRule="auto"/>
            </w:pPr>
            <w:r/>
            <w:r>
              <w:rPr>
                <w:rFonts w:ascii="Aptos" w:hAnsi="Aptos"/>
                <w:b w:val="0"/>
                <w:color w:val="1F2937"/>
                <w:sz w:val="14"/>
              </w:rPr>
              <w:t>All values are hypothetical teaching assumptions, not observations.</w:t>
            </w:r>
          </w:p>
        </w:tc>
      </w:tr>
    </w:tbl>
    <w:p>
      <w:pPr>
        <w:spacing w:after="20"/>
      </w:pPr>
    </w:p>
    <w:p>
      <w:pPr>
        <w:pStyle w:val="Heading2"/>
        <w:keepNext/>
      </w:pPr>
      <w:r>
        <w:t>C.1 How to reproduce the analysis</w:t>
      </w:r>
    </w:p>
    <w:p>
      <w:pPr>
        <w:pStyle w:val="ListNumber"/>
        <w:spacing w:after="40"/>
      </w:pPr>
      <w:r>
        <w:t>Extract the ZIP file into a local folder and open a terminal in the folder containing analyze_agri_data.py.</w:t>
      </w:r>
    </w:p>
    <w:p>
      <w:pPr>
        <w:pStyle w:val="ListNumber"/>
        <w:spacing w:after="40"/>
      </w:pPr>
      <w:r>
        <w:t>Install dependencies: python -m pip install pandas numpy matplotlib</w:t>
      </w:r>
    </w:p>
    <w:p>
      <w:pPr>
        <w:pStyle w:val="ListNumber"/>
        <w:spacing w:after="40"/>
      </w:pPr>
      <w:r>
        <w:t>Run the script: python analyze_agri_data.py</w:t>
      </w:r>
    </w:p>
    <w:p>
      <w:pPr>
        <w:pStyle w:val="ListNumber"/>
        <w:spacing w:after="40"/>
      </w:pPr>
      <w:r>
        <w:t>Open the outputs folder and compare the generated CSVs, text summary and chart files with the report.</w:t>
      </w:r>
    </w:p>
    <w:p>
      <w:pPr>
        <w:pStyle w:val="ListNumber"/>
        <w:spacing w:after="40"/>
      </w:pPr>
      <w:r>
        <w:t>To use the notebook, open Agribusiness_Data_Analysis_Reproducible.ipynb in Jupyter or upload it to a notebook environment, and keep the CSV in its working directory.</w:t>
      </w:r>
    </w:p>
    <w:p>
      <w:pPr>
        <w:pStyle w:val="Heading2"/>
        <w:keepNext/>
      </w:pPr>
      <w:r>
        <w:t>C.2 Cleaning and quality rules implemented</w:t>
      </w:r>
    </w:p>
    <w:p>
      <w:pPr>
        <w:pStyle w:val="ListBullet"/>
        <w:spacing w:after="40"/>
      </w:pPr>
      <w:r>
        <w:t>Reject the dataset if required columns are missing, required values are blank, crop-year keys are duplicated, expected years are absent or numeric values are negative.</w:t>
      </w:r>
    </w:p>
    <w:p>
      <w:pPr>
        <w:pStyle w:val="ListBullet"/>
        <w:spacing w:after="40"/>
      </w:pPr>
      <w:r>
        <w:t>Check that production units remain consistent within each crop series. Different crops can have different production units; do not compare their absolute values without unit conversion.</w:t>
      </w:r>
    </w:p>
    <w:p>
      <w:pPr>
        <w:pStyle w:val="ListBullet"/>
        <w:spacing w:after="40"/>
      </w:pPr>
      <w:r>
        <w:t>Retain true zero separately from missing data. Never replace missing price records with zero.</w:t>
      </w:r>
    </w:p>
    <w:p>
      <w:pPr>
        <w:pStyle w:val="ListBullet"/>
        <w:spacing w:after="40"/>
      </w:pPr>
      <w:r>
        <w:t>Preserve the source status for the 2025–26 Third Advance Estimate. It is a provisional estimate and may be revised.</w:t>
      </w:r>
    </w:p>
    <w:p>
      <w:pPr>
        <w:pStyle w:val="ListBullet"/>
        <w:spacing w:after="40"/>
      </w:pPr>
      <w:r>
        <w:t>Keep source/raw files unchanged and write derived tables and charts into the outputs folder.</w:t>
      </w:r>
    </w:p>
    <w:p>
      <w:pPr>
        <w:pStyle w:val="ListBullet"/>
        <w:spacing w:after="40"/>
      </w:pPr>
      <w:r>
        <w:t>For a real price model, do not merge annual national production to local daily prices without documenting geography and time alignment.</w:t>
      </w:r>
    </w:p>
    <w:tbl>
      <w:tblPr>
        <w:tblStyle w:val="TableGrid"/>
        <w:tblW w:type="auto" w:w="0"/>
        <w:jc w:val="center"/>
        <w:tblLook w:firstColumn="1" w:firstRow="1" w:lastColumn="0" w:lastRow="0" w:noHBand="0" w:noVBand="1" w:val="04A0"/>
      </w:tblPr>
      <w:tblGrid>
        <w:gridCol w:w="9835"/>
      </w:tblGrid>
      <w:tr>
        <w:tc>
          <w:tcPr>
            <w:tcW w:type="dxa" w:w="9835"/>
            <w:shd w:fill="EAF1F8"/>
            <w:tcMar>
              <w:top w:w="110" w:type="dxa"/>
              <w:start w:w="140" w:type="dxa"/>
              <w:bottom w:w="110" w:type="dxa"/>
              <w:end w:w="140" w:type="dxa"/>
            </w:tcMar>
          </w:tcPr>
          <w:p>
            <w:pPr>
              <w:spacing w:after="40"/>
            </w:pPr>
            <w:r/>
            <w:r>
              <w:rPr>
                <w:b/>
                <w:color w:val="0F766E"/>
                <w:sz w:val="18"/>
              </w:rPr>
              <w:t xml:space="preserve">Data limitation  </w:t>
            </w:r>
            <w:r>
              <w:rPr>
                <w:color w:val="1F2937"/>
                <w:sz w:val="17"/>
              </w:rPr>
              <w:t>The attached dataset contains selected national crop statistics only. It does not contain daily mandi prices, observed supply-chain losses, farm costs, or matched farm water use. The project plan identifies public sources for future collection; until those records are added and checked, price/loss/water examples remain hypothetical.</w:t>
            </w:r>
          </w:p>
        </w:tc>
      </w:tr>
    </w:tbl>
    <w:p>
      <w:pPr>
        <w:spacing w:after="20"/>
      </w:pPr>
    </w:p>
    <w:p>
      <w:r>
        <w:br w:type="page"/>
      </w:r>
    </w:p>
    <w:p>
      <w:pPr>
        <w:pStyle w:val="Heading1"/>
        <w:keepNext/>
      </w:pPr>
      <w:r>
        <w:t>APPENDIX D | MEASURABLE EVALUATION RUBRIC</w:t>
      </w:r>
    </w:p>
    <w:p>
      <w:pPr>
        <w:spacing w:after="100" w:line="259" w:lineRule="auto"/>
      </w:pPr>
      <w:r>
        <w:t>This is a proposed self-evaluation rubric designed to address the feedback that the evaluation criteria were too brief. It is not presented as MVJ College of Engineering’s official grading scheme. Score each criterion from 1 to 5: 1 = inadequate, 2 = weak, 3 = satisfactory, 4 = strong, 5 = excellent. Ratings 2 and 4 fall between the written anchors for 1/3/5.</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1872"/>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Criterion</w:t>
            </w:r>
          </w:p>
        </w:tc>
        <w:tc>
          <w:tcPr>
            <w:tcW w:type="dxa" w:w="792"/>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Weight</w:t>
            </w:r>
          </w:p>
        </w:tc>
        <w:tc>
          <w:tcPr>
            <w:tcW w:type="dxa" w:w="2232"/>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Score 1 anchor</w:t>
            </w:r>
          </w:p>
        </w:tc>
        <w:tc>
          <w:tcPr>
            <w:tcW w:type="dxa" w:w="2232"/>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Score 3 anchor</w:t>
            </w:r>
          </w:p>
        </w:tc>
        <w:tc>
          <w:tcPr>
            <w:tcW w:type="dxa" w:w="2376"/>
            <w:vAlign w:val="center"/>
            <w:tcMar>
              <w:top w:w="80" w:type="dxa"/>
              <w:start w:w="85" w:type="dxa"/>
              <w:bottom w:w="80" w:type="dxa"/>
              <w:end w:w="85" w:type="dxa"/>
            </w:tcMar>
            <w:shd w:fill="17365D"/>
          </w:tcPr>
          <w:p>
            <w:pPr>
              <w:spacing w:after="0" w:before="0" w:line="247" w:lineRule="auto"/>
            </w:pPr>
            <w:r/>
            <w:r>
              <w:rPr>
                <w:rFonts w:ascii="Aptos" w:hAnsi="Aptos"/>
                <w:b/>
                <w:color w:val="FFFFFF"/>
                <w:sz w:val="14"/>
              </w:rPr>
              <w:t>Score 5 anchor</w:t>
            </w:r>
          </w:p>
        </w:tc>
      </w:tr>
      <w:tr>
        <w:trPr>
          <w:cantSplit/>
        </w:trPr>
        <w:tc>
          <w:tcPr>
            <w:tcW w:type="dxa" w:w="1872"/>
            <w:vAlign w:val="center"/>
            <w:tcMar>
              <w:top w:w="80" w:type="dxa"/>
              <w:start w:w="85" w:type="dxa"/>
              <w:bottom w:w="80" w:type="dxa"/>
              <w:end w:w="85" w:type="dxa"/>
            </w:tcMar>
          </w:tcPr>
          <w:p>
            <w:pPr>
              <w:spacing w:after="0" w:before="0" w:line="247" w:lineRule="auto"/>
            </w:pPr>
            <w:r/>
            <w:r>
              <w:rPr>
                <w:rFonts w:ascii="Aptos" w:hAnsi="Aptos"/>
                <w:b w:val="0"/>
                <w:color w:val="1F2937"/>
                <w:sz w:val="14"/>
              </w:rPr>
              <w:t>Problem definition and scope</w:t>
            </w:r>
          </w:p>
        </w:tc>
        <w:tc>
          <w:tcPr>
            <w:tcW w:type="dxa" w:w="792"/>
            <w:vAlign w:val="center"/>
            <w:tcMar>
              <w:top w:w="80" w:type="dxa"/>
              <w:start w:w="85" w:type="dxa"/>
              <w:bottom w:w="80" w:type="dxa"/>
              <w:end w:w="85" w:type="dxa"/>
            </w:tcMar>
          </w:tcPr>
          <w:p>
            <w:pPr>
              <w:spacing w:after="0" w:before="0" w:line="247" w:lineRule="auto"/>
            </w:pPr>
            <w:r/>
            <w:r>
              <w:rPr>
                <w:rFonts w:ascii="Aptos" w:hAnsi="Aptos"/>
                <w:b w:val="0"/>
                <w:color w:val="1F2937"/>
                <w:sz w:val="14"/>
              </w:rPr>
              <w:t>10%</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Question vague; crop/geography/period unclear.</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Question, main variables and boundaries stated.</w:t>
            </w:r>
          </w:p>
        </w:tc>
        <w:tc>
          <w:tcPr>
            <w:tcW w:type="dxa" w:w="2376"/>
            <w:vAlign w:val="center"/>
            <w:tcMar>
              <w:top w:w="80" w:type="dxa"/>
              <w:start w:w="85" w:type="dxa"/>
              <w:bottom w:w="80" w:type="dxa"/>
              <w:end w:w="85" w:type="dxa"/>
            </w:tcMar>
          </w:tcPr>
          <w:p>
            <w:pPr>
              <w:spacing w:after="0" w:before="0" w:line="247" w:lineRule="auto"/>
            </w:pPr>
            <w:r/>
            <w:r>
              <w:rPr>
                <w:rFonts w:ascii="Aptos" w:hAnsi="Aptos"/>
                <w:b w:val="0"/>
                <w:color w:val="1F2937"/>
                <w:sz w:val="14"/>
              </w:rPr>
              <w:t>Measurable questions, exclusions and success criteria are explicit.</w:t>
            </w:r>
          </w:p>
        </w:tc>
      </w:tr>
      <w:tr>
        <w:trPr>
          <w:cantSplit/>
        </w:trPr>
        <w:tc>
          <w:tcPr>
            <w:tcW w:type="dxa" w:w="187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Data-source credibility and citation</w:t>
            </w:r>
          </w:p>
        </w:tc>
        <w:tc>
          <w:tcPr>
            <w:tcW w:type="dxa" w:w="79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15%</w:t>
            </w:r>
          </w:p>
        </w:tc>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Sources unsupported or hard to trace.</w:t>
            </w:r>
          </w:p>
        </w:tc>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Credible sources linked with basic units and coverage.</w:t>
            </w:r>
          </w:p>
        </w:tc>
        <w:tc>
          <w:tcPr>
            <w:tcW w:type="dxa" w:w="237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Agency/title/URL, retrieval date, coverage, units, revision status and caveats recorded.</w:t>
            </w:r>
          </w:p>
        </w:tc>
      </w:tr>
      <w:tr>
        <w:trPr>
          <w:cantSplit/>
        </w:trPr>
        <w:tc>
          <w:tcPr>
            <w:tcW w:type="dxa" w:w="1872"/>
            <w:vAlign w:val="center"/>
            <w:tcMar>
              <w:top w:w="80" w:type="dxa"/>
              <w:start w:w="85" w:type="dxa"/>
              <w:bottom w:w="80" w:type="dxa"/>
              <w:end w:w="85" w:type="dxa"/>
            </w:tcMar>
          </w:tcPr>
          <w:p>
            <w:pPr>
              <w:spacing w:after="0" w:before="0" w:line="247" w:lineRule="auto"/>
            </w:pPr>
            <w:r/>
            <w:r>
              <w:rPr>
                <w:rFonts w:ascii="Aptos" w:hAnsi="Aptos"/>
                <w:b w:val="0"/>
                <w:color w:val="1F2937"/>
                <w:sz w:val="14"/>
              </w:rPr>
              <w:t>Data cleaning and method transparency</w:t>
            </w:r>
          </w:p>
        </w:tc>
        <w:tc>
          <w:tcPr>
            <w:tcW w:type="dxa" w:w="792"/>
            <w:vAlign w:val="center"/>
            <w:tcMar>
              <w:top w:w="80" w:type="dxa"/>
              <w:start w:w="85" w:type="dxa"/>
              <w:bottom w:w="80" w:type="dxa"/>
              <w:end w:w="85" w:type="dxa"/>
            </w:tcMar>
          </w:tcPr>
          <w:p>
            <w:pPr>
              <w:spacing w:after="0" w:before="0" w:line="247" w:lineRule="auto"/>
            </w:pPr>
            <w:r/>
            <w:r>
              <w:rPr>
                <w:rFonts w:ascii="Aptos" w:hAnsi="Aptos"/>
                <w:b w:val="0"/>
                <w:color w:val="1F2937"/>
                <w:sz w:val="14"/>
              </w:rPr>
              <w:t>15%</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Cleaning undocumented; zeros/missing confused.</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Basic missingness, duplicates, units and outliers addressed.</w:t>
            </w:r>
          </w:p>
        </w:tc>
        <w:tc>
          <w:tcPr>
            <w:tcW w:type="dxa" w:w="2376"/>
            <w:vAlign w:val="center"/>
            <w:tcMar>
              <w:top w:w="80" w:type="dxa"/>
              <w:start w:w="85" w:type="dxa"/>
              <w:bottom w:w="80" w:type="dxa"/>
              <w:end w:w="85" w:type="dxa"/>
            </w:tcMar>
          </w:tcPr>
          <w:p>
            <w:pPr>
              <w:spacing w:after="0" w:before="0" w:line="247" w:lineRule="auto"/>
            </w:pPr>
            <w:r/>
            <w:r>
              <w:rPr>
                <w:rFonts w:ascii="Aptos" w:hAnsi="Aptos"/>
                <w:b w:val="0"/>
                <w:color w:val="1F2937"/>
                <w:sz w:val="14"/>
              </w:rPr>
              <w:t>Raw/clean separation, audit log, key validation and every transformation reproducible.</w:t>
            </w:r>
          </w:p>
        </w:tc>
      </w:tr>
      <w:tr>
        <w:trPr>
          <w:cantSplit/>
        </w:trPr>
        <w:tc>
          <w:tcPr>
            <w:tcW w:type="dxa" w:w="187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Quantitative depth and interpretation</w:t>
            </w:r>
          </w:p>
        </w:tc>
        <w:tc>
          <w:tcPr>
            <w:tcW w:type="dxa" w:w="79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20%</w:t>
            </w:r>
          </w:p>
        </w:tc>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Mostly general description; no checked calculations.</w:t>
            </w:r>
          </w:p>
        </w:tc>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Correct formulas and several source-backed comparisons.</w:t>
            </w:r>
          </w:p>
        </w:tc>
        <w:tc>
          <w:tcPr>
            <w:tcW w:type="dxa" w:w="237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Multiple verified metrics, trends, alternative explanations and evidence-led conclusions.</w:t>
            </w:r>
          </w:p>
        </w:tc>
      </w:tr>
      <w:tr>
        <w:trPr>
          <w:cantSplit/>
        </w:trPr>
        <w:tc>
          <w:tcPr>
            <w:tcW w:type="dxa" w:w="1872"/>
            <w:vAlign w:val="center"/>
            <w:tcMar>
              <w:top w:w="80" w:type="dxa"/>
              <w:start w:w="85" w:type="dxa"/>
              <w:bottom w:w="80" w:type="dxa"/>
              <w:end w:w="85" w:type="dxa"/>
            </w:tcMar>
          </w:tcPr>
          <w:p>
            <w:pPr>
              <w:spacing w:after="0" w:before="0" w:line="247" w:lineRule="auto"/>
            </w:pPr>
            <w:r/>
            <w:r>
              <w:rPr>
                <w:rFonts w:ascii="Aptos" w:hAnsi="Aptos"/>
                <w:b w:val="0"/>
                <w:color w:val="1F2937"/>
                <w:sz w:val="14"/>
              </w:rPr>
              <w:t>Forecasting and validation</w:t>
            </w:r>
          </w:p>
        </w:tc>
        <w:tc>
          <w:tcPr>
            <w:tcW w:type="dxa" w:w="792"/>
            <w:vAlign w:val="center"/>
            <w:tcMar>
              <w:top w:w="80" w:type="dxa"/>
              <w:start w:w="85" w:type="dxa"/>
              <w:bottom w:w="80" w:type="dxa"/>
              <w:end w:w="85" w:type="dxa"/>
            </w:tcMar>
          </w:tcPr>
          <w:p>
            <w:pPr>
              <w:spacing w:after="0" w:before="0" w:line="247" w:lineRule="auto"/>
            </w:pPr>
            <w:r/>
            <w:r>
              <w:rPr>
                <w:rFonts w:ascii="Aptos" w:hAnsi="Aptos"/>
                <w:b w:val="0"/>
                <w:color w:val="1F2937"/>
                <w:sz w:val="14"/>
              </w:rPr>
              <w:t>15%</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Names models but gives no worked example or evaluation.</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At least two simple baselines with a time-ordered comparison.</w:t>
            </w:r>
          </w:p>
        </w:tc>
        <w:tc>
          <w:tcPr>
            <w:tcW w:type="dxa" w:w="2376"/>
            <w:vAlign w:val="center"/>
            <w:tcMar>
              <w:top w:w="80" w:type="dxa"/>
              <w:start w:w="85" w:type="dxa"/>
              <w:bottom w:w="80" w:type="dxa"/>
              <w:end w:w="85" w:type="dxa"/>
            </w:tcMar>
          </w:tcPr>
          <w:p>
            <w:pPr>
              <w:spacing w:after="0" w:before="0" w:line="247" w:lineRule="auto"/>
            </w:pPr>
            <w:r/>
            <w:r>
              <w:rPr>
                <w:rFonts w:ascii="Aptos" w:hAnsi="Aptos"/>
                <w:b w:val="0"/>
                <w:color w:val="1F2937"/>
                <w:sz w:val="14"/>
              </w:rPr>
              <w:t>Several baselines, transparent errors, proper rolling-origin validation plan and limitations.</w:t>
            </w:r>
          </w:p>
        </w:tc>
      </w:tr>
      <w:tr>
        <w:trPr>
          <w:cantSplit/>
        </w:trPr>
        <w:tc>
          <w:tcPr>
            <w:tcW w:type="dxa" w:w="187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Charts and readability</w:t>
            </w:r>
          </w:p>
        </w:tc>
        <w:tc>
          <w:tcPr>
            <w:tcW w:type="dxa" w:w="79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10%</w:t>
            </w:r>
          </w:p>
        </w:tc>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Charts lack units/source or are hard to read.</w:t>
            </w:r>
          </w:p>
        </w:tc>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Charts titled, labelled and reasonably readable.</w:t>
            </w:r>
          </w:p>
        </w:tc>
        <w:tc>
          <w:tcPr>
            <w:tcW w:type="dxa" w:w="237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Charts fit the question, show units/period/source/status and support the written interpretation.</w:t>
            </w:r>
          </w:p>
        </w:tc>
      </w:tr>
      <w:tr>
        <w:trPr>
          <w:cantSplit/>
        </w:trPr>
        <w:tc>
          <w:tcPr>
            <w:tcW w:type="dxa" w:w="1872"/>
            <w:vAlign w:val="center"/>
            <w:tcMar>
              <w:top w:w="80" w:type="dxa"/>
              <w:start w:w="85" w:type="dxa"/>
              <w:bottom w:w="80" w:type="dxa"/>
              <w:end w:w="85" w:type="dxa"/>
            </w:tcMar>
          </w:tcPr>
          <w:p>
            <w:pPr>
              <w:spacing w:after="0" w:before="0" w:line="247" w:lineRule="auto"/>
            </w:pPr>
            <w:r/>
            <w:r>
              <w:rPr>
                <w:rFonts w:ascii="Aptos" w:hAnsi="Aptos"/>
                <w:b w:val="0"/>
                <w:color w:val="1F2937"/>
                <w:sz w:val="14"/>
              </w:rPr>
              <w:t>Practical relevance and limitations</w:t>
            </w:r>
          </w:p>
        </w:tc>
        <w:tc>
          <w:tcPr>
            <w:tcW w:type="dxa" w:w="792"/>
            <w:vAlign w:val="center"/>
            <w:tcMar>
              <w:top w:w="80" w:type="dxa"/>
              <w:start w:w="85" w:type="dxa"/>
              <w:bottom w:w="80" w:type="dxa"/>
              <w:end w:w="85" w:type="dxa"/>
            </w:tcMar>
          </w:tcPr>
          <w:p>
            <w:pPr>
              <w:spacing w:after="0" w:before="0" w:line="247" w:lineRule="auto"/>
            </w:pPr>
            <w:r/>
            <w:r>
              <w:rPr>
                <w:rFonts w:ascii="Aptos" w:hAnsi="Aptos"/>
                <w:b w:val="0"/>
                <w:color w:val="1F2937"/>
                <w:sz w:val="14"/>
              </w:rPr>
              <w:t>5%</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Recommendations generic; assumptions hidden.</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Recommendations generally follow findings; key limits stated.</w:t>
            </w:r>
          </w:p>
        </w:tc>
        <w:tc>
          <w:tcPr>
            <w:tcW w:type="dxa" w:w="2376"/>
            <w:vAlign w:val="center"/>
            <w:tcMar>
              <w:top w:w="80" w:type="dxa"/>
              <w:start w:w="85" w:type="dxa"/>
              <w:bottom w:w="80" w:type="dxa"/>
              <w:end w:w="85" w:type="dxa"/>
            </w:tcMar>
          </w:tcPr>
          <w:p>
            <w:pPr>
              <w:spacing w:after="0" w:before="0" w:line="247" w:lineRule="auto"/>
            </w:pPr>
            <w:r/>
            <w:r>
              <w:rPr>
                <w:rFonts w:ascii="Aptos" w:hAnsi="Aptos"/>
                <w:b w:val="0"/>
                <w:color w:val="1F2937"/>
                <w:sz w:val="14"/>
              </w:rPr>
              <w:t>Actions tied to measured evidence; hypotheses, uncertainty and unmeasured factors clearly separated.</w:t>
            </w:r>
          </w:p>
        </w:tc>
      </w:tr>
      <w:tr>
        <w:trPr>
          <w:cantSplit/>
        </w:trPr>
        <w:tc>
          <w:tcPr>
            <w:tcW w:type="dxa" w:w="187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Reproducibility and code/data</w:t>
            </w:r>
          </w:p>
        </w:tc>
        <w:tc>
          <w:tcPr>
            <w:tcW w:type="dxa" w:w="79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5%</w:t>
            </w:r>
          </w:p>
        </w:tc>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Code or data missing; results cannot be recreated.</w:t>
            </w:r>
          </w:p>
        </w:tc>
        <w:tc>
          <w:tcPr>
            <w:tcW w:type="dxa" w:w="2232"/>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Code, selected data and basic run steps provided.</w:t>
            </w:r>
          </w:p>
        </w:tc>
        <w:tc>
          <w:tcPr>
            <w:tcW w:type="dxa" w:w="2376"/>
            <w:vAlign w:val="center"/>
            <w:tcMar>
              <w:top w:w="80" w:type="dxa"/>
              <w:start w:w="85" w:type="dxa"/>
              <w:bottom w:w="80" w:type="dxa"/>
              <w:end w:w="85" w:type="dxa"/>
            </w:tcMar>
            <w:shd w:fill="F7F9FB"/>
          </w:tcPr>
          <w:p>
            <w:pPr>
              <w:spacing w:after="0" w:before="0" w:line="247" w:lineRule="auto"/>
            </w:pPr>
            <w:r/>
            <w:r>
              <w:rPr>
                <w:rFonts w:ascii="Aptos" w:hAnsi="Aptos"/>
                <w:b w:val="0"/>
                <w:color w:val="1F2937"/>
                <w:sz w:val="14"/>
              </w:rPr>
              <w:t>Clean run regenerates outputs; dataset schema, environment, logs and outputs are included.</w:t>
            </w:r>
          </w:p>
        </w:tc>
      </w:tr>
      <w:tr>
        <w:trPr>
          <w:cantSplit/>
        </w:trPr>
        <w:tc>
          <w:tcPr>
            <w:tcW w:type="dxa" w:w="1872"/>
            <w:vAlign w:val="center"/>
            <w:tcMar>
              <w:top w:w="80" w:type="dxa"/>
              <w:start w:w="85" w:type="dxa"/>
              <w:bottom w:w="80" w:type="dxa"/>
              <w:end w:w="85" w:type="dxa"/>
            </w:tcMar>
          </w:tcPr>
          <w:p>
            <w:pPr>
              <w:spacing w:after="0" w:before="0" w:line="247" w:lineRule="auto"/>
            </w:pPr>
            <w:r/>
            <w:r>
              <w:rPr>
                <w:rFonts w:ascii="Aptos" w:hAnsi="Aptos"/>
                <w:b w:val="0"/>
                <w:color w:val="1F2937"/>
                <w:sz w:val="14"/>
              </w:rPr>
              <w:t>Timeline and deliverables</w:t>
            </w:r>
          </w:p>
        </w:tc>
        <w:tc>
          <w:tcPr>
            <w:tcW w:type="dxa" w:w="792"/>
            <w:vAlign w:val="center"/>
            <w:tcMar>
              <w:top w:w="80" w:type="dxa"/>
              <w:start w:w="85" w:type="dxa"/>
              <w:bottom w:w="80" w:type="dxa"/>
              <w:end w:w="85" w:type="dxa"/>
            </w:tcMar>
          </w:tcPr>
          <w:p>
            <w:pPr>
              <w:spacing w:after="0" w:before="0" w:line="247" w:lineRule="auto"/>
            </w:pPr>
            <w:r/>
            <w:r>
              <w:rPr>
                <w:rFonts w:ascii="Aptos" w:hAnsi="Aptos"/>
                <w:b w:val="0"/>
                <w:color w:val="1F2937"/>
                <w:sz w:val="14"/>
              </w:rPr>
              <w:t>5%</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Tasks undated or outputs undefined.</w:t>
            </w:r>
          </w:p>
        </w:tc>
        <w:tc>
          <w:tcPr>
            <w:tcW w:type="dxa" w:w="2232"/>
            <w:vAlign w:val="center"/>
            <w:tcMar>
              <w:top w:w="80" w:type="dxa"/>
              <w:start w:w="85" w:type="dxa"/>
              <w:bottom w:w="80" w:type="dxa"/>
              <w:end w:w="85" w:type="dxa"/>
            </w:tcMar>
          </w:tcPr>
          <w:p>
            <w:pPr>
              <w:spacing w:after="0" w:before="0" w:line="247" w:lineRule="auto"/>
            </w:pPr>
            <w:r/>
            <w:r>
              <w:rPr>
                <w:rFonts w:ascii="Aptos" w:hAnsi="Aptos"/>
                <w:b w:val="0"/>
                <w:color w:val="1F2937"/>
                <w:sz w:val="14"/>
              </w:rPr>
              <w:t>Dated milestones and main outputs identified.</w:t>
            </w:r>
          </w:p>
        </w:tc>
        <w:tc>
          <w:tcPr>
            <w:tcW w:type="dxa" w:w="2376"/>
            <w:vAlign w:val="center"/>
            <w:tcMar>
              <w:top w:w="80" w:type="dxa"/>
              <w:start w:w="85" w:type="dxa"/>
              <w:bottom w:w="80" w:type="dxa"/>
              <w:end w:w="85" w:type="dxa"/>
            </w:tcMar>
          </w:tcPr>
          <w:p>
            <w:pPr>
              <w:spacing w:after="0" w:before="0" w:line="247" w:lineRule="auto"/>
            </w:pPr>
            <w:r/>
            <w:r>
              <w:rPr>
                <w:rFonts w:ascii="Aptos" w:hAnsi="Aptos"/>
                <w:b w:val="0"/>
                <w:color w:val="1F2937"/>
                <w:sz w:val="14"/>
              </w:rPr>
              <w:t>Milestones include named outputs, owners/acceptance checks, buffer and contingency decisions.</w:t>
            </w:r>
          </w:p>
        </w:tc>
      </w:tr>
    </w:tbl>
    <w:p>
      <w:pPr>
        <w:spacing w:after="20"/>
      </w:pPr>
    </w:p>
    <w:p>
      <w:pPr>
        <w:spacing w:after="100" w:line="259" w:lineRule="auto"/>
      </w:pPr>
      <w:r>
        <w:t>Weighted points for one criterion = (rating ÷ 5) × criterion weight. Total self-evaluation score is the sum of weighted points across all criteria. Example: a rating of 4/5 for the 20%-weighted analytical-depth criterion contributes (4 ÷ 5) × 20 = 16 points. This score is a planning aid only, not an official grade prediction.</w:t>
      </w:r>
    </w:p>
    <w:p>
      <w:pPr>
        <w:pStyle w:val="Heading1"/>
        <w:keepNext/>
      </w:pPr>
      <w:r>
        <w:t>APPENDIX E | FINAL RESUBMISSION CHECKLIST</w:t>
      </w:r>
    </w:p>
    <w:p>
      <w:pPr>
        <w:pStyle w:val="ListBullet"/>
        <w:spacing w:after="40"/>
      </w:pPr>
      <w:r>
        <w:t>Brief alignment: objective, rationale, official sources, indicators, cleaning workflow, forecasting methods, dated milestones and measurable evaluation criteria are included.</w:t>
      </w:r>
    </w:p>
    <w:p>
      <w:pPr>
        <w:pStyle w:val="ListBullet"/>
        <w:spacing w:after="40"/>
      </w:pPr>
      <w:r>
        <w:t>Evidence: numerical calculations cite the DA&amp;FW table; the 2025–26 series is marked as a Third Advance Estimate; source units and geography are explicit.</w:t>
      </w:r>
    </w:p>
    <w:p>
      <w:pPr>
        <w:pStyle w:val="ListBullet"/>
        <w:spacing w:after="40"/>
      </w:pPr>
      <w:r>
        <w:t>Honest limitations: forecasts are illustrative (not validated), and the price-spread/supply-chain values are hypothetical; no missing real data are invented.</w:t>
      </w:r>
    </w:p>
    <w:p>
      <w:pPr>
        <w:pStyle w:val="ListBullet"/>
        <w:spacing w:after="40"/>
      </w:pPr>
      <w:r>
        <w:t>Reproducibility: ZIP and GitHub repository contain the final DOCX/PDF, source PDF, CSV, Python script, notebook, requirements, generated outputs and README.</w:t>
      </w:r>
    </w:p>
    <w:sectPr w:rsidR="00FC693F" w:rsidRPr="0006063C" w:rsidSect="00034616">
      <w:headerReference w:type="default" r:id="rId9"/>
      <w:footerReference w:type="default" r:id="rId10"/>
      <w:pgSz w:w="11909" w:h="16834"/>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57080"/>
        <w:sz w:val="14"/>
      </w:rPr>
      <w:t>SANJAY H H  •  USN 1MJ24CD041  •  MVJ COLLEGE OF ENGINEERING</w:t>
    </w:r>
  </w:p>
  <w:p>
    <w:pPr>
      <w:jc w:val="right"/>
    </w:pPr>
    <w:r>
      <w:rPr>
        <w:color w:val="55708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Bdr>
        <w:bottom w:val="single" w:sz="6" w:space="2" w:color="1B6B5A"/>
      </w:pBdr>
    </w:pPr>
    <w:r>
      <w:rPr>
        <w:rFonts w:ascii="Arial" w:hAnsi="Arial"/>
        <w:b/>
        <w:color w:val="1B6B5A"/>
        <w:sz w:val="15"/>
      </w:rPr>
      <w:t>AGRIBUSINESS DATA ANALYSIS PLANNING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6324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6B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2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B6B5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Agribusiness Data Analysis Planning — Final Resubmission</dc:title>
  <dc:subject>Week 1 planning brief with feedback-aligned quantitative analysis and reproducibility</dc:subject>
  <dc:creator>SANJAY H H</dc:creator>
  <cp:keywords>Agribusiness, Data Science, crop statistics, forecasting,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