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E97814"/>
          <w:sz w:val="24"/>
        </w:rPr>
        <w:t>WEEK 2  |  DATA SCIENCE PROJECT</w:t>
      </w:r>
    </w:p>
    <w:p>
      <w:pPr>
        <w:spacing w:before="360"/>
        <w:jc w:val="center"/>
      </w:pPr>
      <w:r>
        <w:rPr>
          <w:rFonts w:ascii="Aptos Display" w:hAnsi="Aptos Display"/>
          <w:b/>
          <w:color w:val="133B33"/>
          <w:sz w:val="60"/>
        </w:rPr>
        <w:t>DATA CLEANING</w:t>
        <w:br/>
        <w:t>&amp; PREPROCESSING STRATEGY</w:t>
      </w:r>
    </w:p>
    <w:p>
      <w:pPr>
        <w:spacing w:before="280"/>
        <w:jc w:val="center"/>
      </w:pPr>
      <w:r>
        <w:rPr>
          <w:color w:val="1F6E5C"/>
          <w:sz w:val="26"/>
        </w:rPr>
        <w:t>Agribusiness dataset | Proposed strategy and reproducible example</w:t>
      </w:r>
    </w:p>
    <w:p>
      <w:pPr>
        <w:jc w:val="center"/>
      </w:pPr>
      <w:r>
        <w:drawing>
          <wp:inline xmlns:a="http://schemas.openxmlformats.org/drawingml/2006/main" xmlns:pic="http://schemas.openxmlformats.org/drawingml/2006/picture">
            <wp:extent cx="6126480" cy="1857362"/>
            <wp:docPr id="1" name="Picture 1"/>
            <wp:cNvGraphicFramePr>
              <a:graphicFrameLocks noChangeAspect="1"/>
            </wp:cNvGraphicFramePr>
            <a:graphic>
              <a:graphicData uri="http://schemas.openxmlformats.org/drawingml/2006/picture">
                <pic:pic>
                  <pic:nvPicPr>
                    <pic:cNvPr id="0" name="preprocessing_workflow.png"/>
                    <pic:cNvPicPr/>
                  </pic:nvPicPr>
                  <pic:blipFill>
                    <a:blip r:embed="rId11"/>
                    <a:stretch>
                      <a:fillRect/>
                    </a:stretch>
                  </pic:blipFill>
                  <pic:spPr>
                    <a:xfrm>
                      <a:off x="0" y="0"/>
                      <a:ext cx="6126480" cy="1857362"/>
                    </a:xfrm>
                    <a:prstGeom prst="rect"/>
                  </pic:spPr>
                </pic:pic>
              </a:graphicData>
            </a:graphic>
          </wp:inline>
        </w:drawing>
      </w:r>
    </w:p>
    <w:p>
      <w:pPr>
        <w:spacing w:before="460"/>
        <w:jc w:val="center"/>
      </w:pPr>
      <w:r>
        <w:rPr>
          <w:b/>
          <w:color w:val="E97814"/>
          <w:sz w:val="20"/>
        </w:rPr>
        <w:t>PREPARED BY</w:t>
      </w:r>
    </w:p>
    <w:p>
      <w:pPr>
        <w:spacing w:after="60"/>
        <w:jc w:val="center"/>
      </w:pPr>
      <w:r>
        <w:rPr>
          <w:b/>
          <w:color w:val="133B33"/>
          <w:sz w:val="22"/>
        </w:rPr>
        <w:t>SANJAY H H</w:t>
      </w:r>
    </w:p>
    <w:p>
      <w:pPr>
        <w:spacing w:after="60"/>
        <w:jc w:val="center"/>
      </w:pPr>
      <w:r>
        <w:rPr>
          <w:b w:val="0"/>
          <w:color w:val="4B5563"/>
          <w:sz w:val="20"/>
        </w:rPr>
        <w:t>USN: 1MJ24CD041</w:t>
      </w:r>
    </w:p>
    <w:p>
      <w:pPr>
        <w:spacing w:after="60"/>
        <w:jc w:val="center"/>
      </w:pPr>
      <w:r>
        <w:rPr>
          <w:b w:val="0"/>
          <w:color w:val="4B5563"/>
          <w:sz w:val="20"/>
        </w:rPr>
        <w:t>5th Semester | CSE – Data Science</w:t>
      </w:r>
    </w:p>
    <w:p>
      <w:pPr>
        <w:spacing w:after="60"/>
        <w:jc w:val="center"/>
      </w:pPr>
      <w:r>
        <w:rPr>
          <w:b w:val="0"/>
          <w:color w:val="4B5563"/>
          <w:sz w:val="20"/>
        </w:rPr>
        <w:t>MVJ College of Engineering, Bengaluru</w:t>
      </w:r>
    </w:p>
    <w:p>
      <w:pPr>
        <w:spacing w:before="400"/>
        <w:jc w:val="center"/>
      </w:pPr>
      <w:r>
        <w:rPr>
          <w:color w:val="5D6870"/>
          <w:sz w:val="18"/>
        </w:rPr>
        <w:t>Prepared: 11 October 2026</w:t>
      </w:r>
    </w:p>
    <w:p>
      <w:r>
        <w:br w:type="page"/>
      </w:r>
    </w:p>
    <w:p>
      <w:pPr>
        <w:pStyle w:val="Heading1"/>
      </w:pPr>
      <w:r>
        <w:t>Document Overview</w:t>
      </w:r>
    </w:p>
    <w:tbl>
      <w:tblPr>
        <w:tblW w:type="auto" w:w="0"/>
        <w:jc w:val="center"/>
        <w:tblLook w:firstColumn="1" w:firstRow="1" w:lastColumn="0" w:lastRow="0" w:noHBand="0" w:noVBand="1" w:val="04A0"/>
      </w:tblPr>
      <w:tblGrid>
        <w:gridCol w:w="9994"/>
      </w:tblGrid>
      <w:tr>
        <w:tc>
          <w:tcPr>
            <w:tcW w:type="dxa" w:w="9994"/>
            <w:shd w:fill="EAF5F1"/>
            <w:tcMar>
              <w:top w:w="150" w:type="dxa"/>
              <w:start w:w="180" w:type="dxa"/>
              <w:bottom w:w="150" w:type="dxa"/>
              <w:end w:w="180" w:type="dxa"/>
            </w:tcMar>
          </w:tcPr>
          <w:p>
            <w:pPr>
              <w:spacing w:after="80"/>
            </w:pPr>
            <w:r/>
            <w:r>
              <w:rPr>
                <w:b/>
                <w:color w:val="133B33"/>
                <w:sz w:val="20"/>
              </w:rPr>
              <w:t>Purpose</w:t>
            </w:r>
          </w:p>
          <w:p>
            <w:pPr>
              <w:spacing w:after="0"/>
            </w:pPr>
            <w:r>
              <w:rPr>
                <w:color w:val="344054"/>
                <w:sz w:val="18"/>
              </w:rPr>
              <w:t>This document proposes a practical, auditable cleaning and preprocessing strategy for a hypothetical agribusiness dataset. It defines how common data-quality problems will be detected, handled, documented, and tested before analysis or forecasting.</w:t>
            </w:r>
          </w:p>
        </w:tc>
      </w:tr>
    </w:tbl>
    <w:p>
      <w:pPr>
        <w:spacing w:after="20"/>
      </w:pPr>
    </w:p>
    <w:p>
      <w:pPr>
        <w:pStyle w:val="Heading2"/>
      </w:pPr>
      <w:r>
        <w:t>Executive Summary</w:t>
      </w:r>
    </w:p>
    <w:p>
      <w:r>
        <w:t>Agricultural datasets combine observations from farms, weather stations, market yards, surveys, and administrative records. Records may contain missing rainfall values, inconsistent district names, mixed measurement units, duplicate transactions, invalid dates, recording mistakes, or unusual values that could be genuine events. If these issues are not addressed systematically, summary statistics and models may be biased or misleading.</w:t>
      </w:r>
    </w:p>
    <w:p>
      <w:r>
        <w:t>The proposed workflow preserves the original file, profiles fields, standardizes categories and units, resolves duplicates using a documented record grain, handles missing values according to variable meaning, flags outliers for review, checks domain logic, creates analytical features, validates outputs, and records every change. The example CSV and Python script are supplied as reproducible learning materials.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vAlign w:val="center"/>
            <w:tcMar>
              <w:top w:w="90" w:type="dxa"/>
              <w:start w:w="100" w:type="dxa"/>
              <w:bottom w:w="90" w:type="dxa"/>
              <w:end w:w="100" w:type="dxa"/>
            </w:tcMar>
            <w:shd w:fill="133B33"/>
          </w:tcPr>
          <w:p>
            <w:pPr>
              <w:spacing w:after="20" w:before="20"/>
            </w:pPr>
            <w:r>
              <w:rPr>
                <w:rFonts w:ascii="Aptos" w:hAnsi="Aptos"/>
                <w:b/>
                <w:color w:val="FFFFFF"/>
                <w:sz w:val="17"/>
              </w:rPr>
            </w:r>
            <w:r>
              <w:rPr>
                <w:rFonts w:ascii="Aptos" w:hAnsi="Aptos"/>
                <w:b/>
                <w:color w:val="FFFFFF"/>
                <w:sz w:val="17"/>
              </w:rPr>
              <w:t>Item</w:t>
            </w:r>
          </w:p>
        </w:tc>
        <w:tc>
          <w:tcPr>
            <w:tcW w:type="dxa" w:w="7992"/>
            <w:vAlign w:val="center"/>
            <w:tcMar>
              <w:top w:w="90" w:type="dxa"/>
              <w:start w:w="100" w:type="dxa"/>
              <w:bottom w:w="90" w:type="dxa"/>
              <w:end w:w="100" w:type="dxa"/>
            </w:tcMar>
            <w:shd w:fill="133B33"/>
          </w:tcPr>
          <w:p>
            <w:pPr>
              <w:spacing w:after="20" w:before="20"/>
            </w:pPr>
            <w:r>
              <w:rPr>
                <w:rFonts w:ascii="Aptos" w:hAnsi="Aptos"/>
                <w:b/>
                <w:color w:val="FFFFFF"/>
                <w:sz w:val="17"/>
              </w:rPr>
            </w:r>
            <w:r>
              <w:rPr>
                <w:rFonts w:ascii="Aptos" w:hAnsi="Aptos"/>
                <w:b/>
                <w:color w:val="FFFFFF"/>
                <w:sz w:val="17"/>
              </w:rPr>
              <w:t>Proposal</w:t>
            </w:r>
          </w:p>
        </w:tc>
      </w:tr>
      <w:tr>
        <w:trPr>
          <w:cantSplit/>
        </w:trPr>
        <w:tc>
          <w:tcPr>
            <w:tcW w:type="dxa" w:w="2232"/>
            <w:vAlign w:val="center"/>
            <w:tcMar>
              <w:top w:w="90" w:type="dxa"/>
              <w:start w:w="100" w:type="dxa"/>
              <w:bottom w:w="90" w:type="dxa"/>
              <w:end w:w="100" w:type="dxa"/>
            </w:tcMar>
          </w:tcPr>
          <w:p>
            <w:pPr>
              <w:spacing w:after="20" w:before="20"/>
            </w:pPr>
            <w:r>
              <w:rPr>
                <w:rFonts w:ascii="Aptos" w:hAnsi="Aptos"/>
                <w:sz w:val="17"/>
              </w:rPr>
            </w:r>
            <w:r>
              <w:rPr>
                <w:rFonts w:ascii="Aptos" w:hAnsi="Aptos"/>
                <w:b w:val="0"/>
                <w:sz w:val="17"/>
              </w:rPr>
              <w:t>Dataset type</w:t>
            </w:r>
          </w:p>
        </w:tc>
        <w:tc>
          <w:tcPr>
            <w:tcW w:type="dxa" w:w="7992"/>
            <w:vAlign w:val="center"/>
            <w:tcMar>
              <w:top w:w="90" w:type="dxa"/>
              <w:start w:w="100" w:type="dxa"/>
              <w:bottom w:w="90" w:type="dxa"/>
              <w:end w:w="100" w:type="dxa"/>
            </w:tcMar>
          </w:tcPr>
          <w:p>
            <w:pPr>
              <w:spacing w:after="20" w:before="20"/>
            </w:pPr>
            <w:r>
              <w:rPr>
                <w:rFonts w:ascii="Aptos" w:hAnsi="Aptos"/>
                <w:sz w:val="17"/>
              </w:rPr>
            </w:r>
            <w:r>
              <w:rPr>
                <w:rFonts w:ascii="Aptos" w:hAnsi="Aptos"/>
                <w:b w:val="0"/>
                <w:sz w:val="17"/>
              </w:rPr>
              <w:t>Hypothetical farm-level crop observation dataset</w:t>
            </w:r>
          </w:p>
        </w:tc>
      </w:tr>
      <w:tr>
        <w:trPr>
          <w:cantSplit/>
        </w:trPr>
        <w:tc>
          <w:tcPr>
            <w:tcW w:type="dxa" w:w="2232"/>
            <w:vAlign w:val="center"/>
            <w:tcMar>
              <w:top w:w="90" w:type="dxa"/>
              <w:start w:w="100" w:type="dxa"/>
              <w:bottom w:w="90" w:type="dxa"/>
              <w:end w:w="100" w:type="dxa"/>
            </w:tcMar>
            <w:shd w:fill="F4F7F6"/>
          </w:tcPr>
          <w:p>
            <w:pPr>
              <w:spacing w:after="20" w:before="20"/>
            </w:pPr>
            <w:r>
              <w:rPr>
                <w:rFonts w:ascii="Aptos" w:hAnsi="Aptos"/>
                <w:sz w:val="17"/>
              </w:rPr>
            </w:r>
            <w:r>
              <w:rPr>
                <w:rFonts w:ascii="Aptos" w:hAnsi="Aptos"/>
                <w:b w:val="0"/>
                <w:sz w:val="17"/>
              </w:rPr>
              <w:t>Example fields</w:t>
            </w:r>
          </w:p>
        </w:tc>
        <w:tc>
          <w:tcPr>
            <w:tcW w:type="dxa" w:w="7992"/>
            <w:vAlign w:val="center"/>
            <w:tcMar>
              <w:top w:w="90" w:type="dxa"/>
              <w:start w:w="100" w:type="dxa"/>
              <w:bottom w:w="90" w:type="dxa"/>
              <w:end w:w="100" w:type="dxa"/>
            </w:tcMar>
            <w:shd w:fill="F4F7F6"/>
          </w:tcPr>
          <w:p>
            <w:pPr>
              <w:spacing w:after="20" w:before="20"/>
            </w:pPr>
            <w:r>
              <w:rPr>
                <w:rFonts w:ascii="Aptos" w:hAnsi="Aptos"/>
                <w:sz w:val="17"/>
              </w:rPr>
            </w:r>
            <w:r>
              <w:rPr>
                <w:rFonts w:ascii="Aptos" w:hAnsi="Aptos"/>
                <w:b w:val="0"/>
                <w:sz w:val="17"/>
              </w:rPr>
              <w:t>Farm, date, district, crop, season, area, production, yield, rainfall, price, fertilizer intensity</w:t>
            </w:r>
          </w:p>
        </w:tc>
      </w:tr>
      <w:tr>
        <w:trPr>
          <w:cantSplit/>
        </w:trPr>
        <w:tc>
          <w:tcPr>
            <w:tcW w:type="dxa" w:w="2232"/>
            <w:vAlign w:val="center"/>
            <w:tcMar>
              <w:top w:w="90" w:type="dxa"/>
              <w:start w:w="100" w:type="dxa"/>
              <w:bottom w:w="90" w:type="dxa"/>
              <w:end w:w="100" w:type="dxa"/>
            </w:tcMar>
          </w:tcPr>
          <w:p>
            <w:pPr>
              <w:spacing w:after="20" w:before="20"/>
            </w:pPr>
            <w:r>
              <w:rPr>
                <w:rFonts w:ascii="Aptos" w:hAnsi="Aptos"/>
                <w:sz w:val="17"/>
              </w:rPr>
            </w:r>
            <w:r>
              <w:rPr>
                <w:rFonts w:ascii="Aptos" w:hAnsi="Aptos"/>
                <w:b w:val="0"/>
                <w:sz w:val="17"/>
              </w:rPr>
              <w:t>Primary outcome fields</w:t>
            </w:r>
          </w:p>
        </w:tc>
        <w:tc>
          <w:tcPr>
            <w:tcW w:type="dxa" w:w="7992"/>
            <w:vAlign w:val="center"/>
            <w:tcMar>
              <w:top w:w="90" w:type="dxa"/>
              <w:start w:w="100" w:type="dxa"/>
              <w:bottom w:w="90" w:type="dxa"/>
              <w:end w:w="100" w:type="dxa"/>
            </w:tcMar>
          </w:tcPr>
          <w:p>
            <w:pPr>
              <w:spacing w:after="20" w:before="20"/>
            </w:pPr>
            <w:r>
              <w:rPr>
                <w:rFonts w:ascii="Aptos" w:hAnsi="Aptos"/>
                <w:sz w:val="17"/>
              </w:rPr>
            </w:r>
            <w:r>
              <w:rPr>
                <w:rFonts w:ascii="Aptos" w:hAnsi="Aptos"/>
                <w:b w:val="0"/>
                <w:sz w:val="17"/>
              </w:rPr>
              <w:t>Production and yield; do not casually impute these labels for supervised prediction</w:t>
            </w:r>
          </w:p>
        </w:tc>
      </w:tr>
      <w:tr>
        <w:trPr>
          <w:cantSplit/>
        </w:trPr>
        <w:tc>
          <w:tcPr>
            <w:tcW w:type="dxa" w:w="2232"/>
            <w:vAlign w:val="center"/>
            <w:tcMar>
              <w:top w:w="90" w:type="dxa"/>
              <w:start w:w="100" w:type="dxa"/>
              <w:bottom w:w="90" w:type="dxa"/>
              <w:end w:w="100" w:type="dxa"/>
            </w:tcMar>
            <w:shd w:fill="F4F7F6"/>
          </w:tcPr>
          <w:p>
            <w:pPr>
              <w:spacing w:after="20" w:before="20"/>
            </w:pPr>
            <w:r>
              <w:rPr>
                <w:rFonts w:ascii="Aptos" w:hAnsi="Aptos"/>
                <w:sz w:val="17"/>
              </w:rPr>
            </w:r>
            <w:r>
              <w:rPr>
                <w:rFonts w:ascii="Aptos" w:hAnsi="Aptos"/>
                <w:b w:val="0"/>
                <w:sz w:val="17"/>
              </w:rPr>
              <w:t>Principle</w:t>
            </w:r>
          </w:p>
        </w:tc>
        <w:tc>
          <w:tcPr>
            <w:tcW w:type="dxa" w:w="7992"/>
            <w:vAlign w:val="center"/>
            <w:tcMar>
              <w:top w:w="90" w:type="dxa"/>
              <w:start w:w="100" w:type="dxa"/>
              <w:bottom w:w="90" w:type="dxa"/>
              <w:end w:w="100" w:type="dxa"/>
            </w:tcMar>
            <w:shd w:fill="F4F7F6"/>
          </w:tcPr>
          <w:p>
            <w:pPr>
              <w:spacing w:after="20" w:before="20"/>
            </w:pPr>
            <w:r>
              <w:rPr>
                <w:rFonts w:ascii="Aptos" w:hAnsi="Aptos"/>
                <w:sz w:val="17"/>
              </w:rPr>
            </w:r>
            <w:r>
              <w:rPr>
                <w:rFonts w:ascii="Aptos" w:hAnsi="Aptos"/>
                <w:b w:val="0"/>
                <w:sz w:val="17"/>
              </w:rPr>
              <w:t>Correct only when evidence supports a correction; otherwise flag, retain and document</w:t>
            </w:r>
          </w:p>
        </w:tc>
      </w:tr>
      <w:tr>
        <w:trPr>
          <w:cantSplit/>
        </w:trPr>
        <w:tc>
          <w:tcPr>
            <w:tcW w:type="dxa" w:w="2232"/>
            <w:vAlign w:val="center"/>
            <w:tcMar>
              <w:top w:w="90" w:type="dxa"/>
              <w:start w:w="100" w:type="dxa"/>
              <w:bottom w:w="90" w:type="dxa"/>
              <w:end w:w="100" w:type="dxa"/>
            </w:tcMar>
          </w:tcPr>
          <w:p>
            <w:pPr>
              <w:spacing w:after="20" w:before="20"/>
            </w:pPr>
            <w:r>
              <w:rPr>
                <w:rFonts w:ascii="Aptos" w:hAnsi="Aptos"/>
                <w:sz w:val="17"/>
              </w:rPr>
            </w:r>
            <w:r>
              <w:rPr>
                <w:rFonts w:ascii="Aptos" w:hAnsi="Aptos"/>
                <w:b w:val="0"/>
                <w:sz w:val="17"/>
              </w:rPr>
              <w:t>Expected outputs</w:t>
            </w:r>
          </w:p>
        </w:tc>
        <w:tc>
          <w:tcPr>
            <w:tcW w:type="dxa" w:w="7992"/>
            <w:vAlign w:val="center"/>
            <w:tcMar>
              <w:top w:w="90" w:type="dxa"/>
              <w:start w:w="100" w:type="dxa"/>
              <w:bottom w:w="90" w:type="dxa"/>
              <w:end w:w="100" w:type="dxa"/>
            </w:tcMar>
          </w:tcPr>
          <w:p>
            <w:pPr>
              <w:spacing w:after="20" w:before="20"/>
            </w:pPr>
            <w:r>
              <w:rPr>
                <w:rFonts w:ascii="Aptos" w:hAnsi="Aptos"/>
                <w:sz w:val="17"/>
              </w:rPr>
            </w:r>
            <w:r>
              <w:rPr>
                <w:rFonts w:ascii="Aptos" w:hAnsi="Aptos"/>
                <w:b w:val="0"/>
                <w:sz w:val="17"/>
              </w:rPr>
              <w:t>Cleaned table, issue log, data dictionary, validation summary and reproducible script</w:t>
            </w:r>
          </w:p>
        </w:tc>
      </w:tr>
    </w:tbl>
    <w:p>
      <w:pPr>
        <w:spacing w:after="20"/>
      </w:pPr>
    </w:p>
    <w:p>
      <w:pPr>
        <w:pStyle w:val="Heading2"/>
      </w:pPr>
      <w:r>
        <w:t>Contents</w:t>
      </w:r>
    </w:p>
    <w:p>
      <w:pPr>
        <w:pStyle w:val="ListBullet"/>
        <w:spacing w:after="60"/>
      </w:pPr>
      <w:r>
        <w:t>1. Introduction and objectives</w:t>
      </w:r>
    </w:p>
    <w:p>
      <w:pPr>
        <w:pStyle w:val="ListBullet"/>
        <w:spacing w:after="60"/>
      </w:pPr>
      <w:r>
        <w:t>2. Hypothetical dataset and data-quality risks</w:t>
      </w:r>
    </w:p>
    <w:p>
      <w:pPr>
        <w:pStyle w:val="ListBullet"/>
        <w:spacing w:after="60"/>
      </w:pPr>
      <w:r>
        <w:t>3. Cleaning rules and step-by-step plan</w:t>
      </w:r>
    </w:p>
    <w:p>
      <w:pPr>
        <w:pStyle w:val="ListBullet"/>
        <w:spacing w:after="60"/>
      </w:pPr>
      <w:r>
        <w:t>4. Missing values, formats, duplicates and outliers</w:t>
      </w:r>
    </w:p>
    <w:p>
      <w:pPr>
        <w:pStyle w:val="ListBullet"/>
        <w:spacing w:after="60"/>
      </w:pPr>
      <w:r>
        <w:t>5. Preprocessing workflow and feature preparation</w:t>
      </w:r>
    </w:p>
    <w:p>
      <w:pPr>
        <w:pStyle w:val="ListBullet"/>
        <w:spacing w:after="60"/>
      </w:pPr>
      <w:r>
        <w:t>6. Worked hypothetical examples</w:t>
      </w:r>
    </w:p>
    <w:p>
      <w:pPr>
        <w:pStyle w:val="ListBullet"/>
        <w:spacing w:after="60"/>
      </w:pPr>
      <w:r>
        <w:t>7. Reproducibility and quality acceptance checks</w:t>
      </w:r>
    </w:p>
    <w:p>
      <w:pPr>
        <w:pStyle w:val="ListBullet"/>
        <w:spacing w:after="60"/>
      </w:pPr>
      <w:r>
        <w:t>8. Timeline and evaluation rubric</w:t>
      </w:r>
    </w:p>
    <w:p>
      <w:pPr>
        <w:pStyle w:val="ListBullet"/>
        <w:spacing w:after="60"/>
      </w:pPr>
      <w:r>
        <w:t>9. Conclusion and references</w:t>
      </w:r>
    </w:p>
    <w:p>
      <w:pPr>
        <w:pStyle w:val="ListBullet"/>
        <w:spacing w:after="60"/>
      </w:pPr>
      <w:r>
        <w:t>Appendix A. Running the example script</w:t>
      </w:r>
    </w:p>
    <w:p>
      <w:pPr>
        <w:pStyle w:val="Heading1"/>
        <w:pageBreakBefore/>
      </w:pPr>
      <w:r>
        <w:t>1. Introduction and Objectives</w:t>
      </w:r>
    </w:p>
    <w:p>
      <w:r>
        <w:t>Data cleaning and preprocessing transform collected data into a consistent, usable, and traceable analytical dataset. In agribusiness, a small recording problem can change apparent crop productivity, input use, market-price comparisons, or climate relationships. For example, area entered in acres but interpreted as hectares can distort calculated yield; a date parsed in the wrong order can assign observations to the wrong season; a valid extreme rainfall event can be mistaken for an error if outliers are deleted automatically.</w:t>
      </w:r>
    </w:p>
    <w:p>
      <w:pPr>
        <w:pStyle w:val="Heading2"/>
      </w:pPr>
      <w:r>
        <w:t>1.1 Objectives</w:t>
      </w:r>
    </w:p>
    <w:p>
      <w:pPr>
        <w:pStyle w:val="ListBullet"/>
        <w:spacing w:after="60"/>
      </w:pPr>
      <w:r>
        <w:t>Identify likely quality issues in farm, crop, weather, and market observations.</w:t>
      </w:r>
    </w:p>
    <w:p>
      <w:pPr>
        <w:pStyle w:val="ListBullet"/>
        <w:spacing w:after="60"/>
      </w:pPr>
      <w:r>
        <w:t>Specify clear rules for missing values, duplicates, formats, units, outliers, and logical inconsistencies.</w:t>
      </w:r>
    </w:p>
    <w:p>
      <w:pPr>
        <w:pStyle w:val="ListBullet"/>
        <w:spacing w:after="60"/>
      </w:pPr>
      <w:r>
        <w:t>Create a step-by-step process that separates source correction from analytical transformation.</w:t>
      </w:r>
    </w:p>
    <w:p>
      <w:pPr>
        <w:pStyle w:val="ListBullet"/>
        <w:spacing w:after="60"/>
      </w:pPr>
      <w:r>
        <w:t>Prevent target leakage and inappropriate imputation in future forecasting models.</w:t>
      </w:r>
    </w:p>
    <w:p>
      <w:pPr>
        <w:pStyle w:val="ListBullet"/>
        <w:spacing w:after="60"/>
      </w:pPr>
      <w:r>
        <w:t>Preserve reproducibility through raw-data retention, versioned code, parameters, issue logs, and validation checks.</w:t>
      </w:r>
    </w:p>
    <w:p>
      <w:pPr>
        <w:pStyle w:val="ListBullet"/>
        <w:spacing w:after="60"/>
      </w:pPr>
      <w:r>
        <w:t>Demonstrate the strategy using a labelled hypothetical dataset and a runnable Python script.</w:t>
      </w:r>
    </w:p>
    <w:p>
      <w:pPr>
        <w:pStyle w:val="Heading2"/>
      </w:pPr>
      <w:r>
        <w:t>1.2 Scope and assumptions</w:t>
      </w:r>
    </w:p>
    <w:p>
      <w:r>
        <w:t>This is a proposed strategy, not a claim that the synthetic example represents real farms or actual prices. The sample observations were deliberately constructed to show common problems. Real implementation must confirm field definitions with the data owner, use crop- and region-specific validation limits, and follow source terms and privacy requirements. Where a value cannot be verified, it is flagged rather than silently modified.</w:t>
      </w:r>
    </w:p>
    <w:tbl>
      <w:tblPr>
        <w:tblW w:type="auto" w:w="0"/>
        <w:jc w:val="center"/>
        <w:tblLook w:firstColumn="1" w:firstRow="1" w:lastColumn="0" w:lastRow="0" w:noHBand="0" w:noVBand="1" w:val="04A0"/>
      </w:tblPr>
      <w:tblGrid>
        <w:gridCol w:w="9994"/>
      </w:tblGrid>
      <w:tr>
        <w:tc>
          <w:tcPr>
            <w:tcW w:type="dxa" w:w="9994"/>
            <w:shd w:fill="FFF4E5"/>
            <w:tcMar>
              <w:top w:w="150" w:type="dxa"/>
              <w:start w:w="180" w:type="dxa"/>
              <w:bottom w:w="150" w:type="dxa"/>
              <w:end w:w="180" w:type="dxa"/>
            </w:tcMar>
          </w:tcPr>
          <w:p>
            <w:pPr>
              <w:spacing w:after="80"/>
            </w:pPr>
            <w:r/>
            <w:r>
              <w:rPr>
                <w:b/>
                <w:color w:val="133B33"/>
                <w:sz w:val="20"/>
              </w:rPr>
              <w:t>Important distinction</w:t>
            </w:r>
          </w:p>
          <w:p>
            <w:pPr>
              <w:spacing w:after="0"/>
            </w:pPr>
            <w:r>
              <w:rPr>
                <w:color w:val="344054"/>
                <w:sz w:val="18"/>
              </w:rPr>
              <w:t>A data-quality flag is not the same as proof that a value is wrong. A high yield, high price, or rainfall extreme can be real. The process should investigate context, units, and provenance before excluding an observation.</w:t>
            </w:r>
          </w:p>
        </w:tc>
      </w:tr>
    </w:tbl>
    <w:p>
      <w:pPr>
        <w:spacing w:after="20"/>
      </w:pPr>
    </w:p>
    <w:p>
      <w:pPr>
        <w:pStyle w:val="Heading1"/>
      </w:pPr>
      <w:r>
        <w:t>2. Hypothetical Dataset and Data-Quality Risks</w:t>
      </w:r>
    </w:p>
    <w:p>
      <w:r>
        <w:t>The example dataset represents one farm-crop-season observation per farm and date. The proposed record grain must be agreed before duplicate checks: in this demonstration, Farm_ID + parsed Observation_Date + Crop + Season is the candidate business key. If a real table records multiple plots, harvests, or market transactions per day, the key must be expanded.</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88"/>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Field</w:t>
            </w:r>
          </w:p>
        </w:tc>
        <w:tc>
          <w:tcPr>
            <w:tcW w:type="dxa" w:w="2520"/>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Type / unit</w:t>
            </w:r>
          </w:p>
        </w:tc>
        <w:tc>
          <w:tcPr>
            <w:tcW w:type="dxa" w:w="5616"/>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Validation rule</w:t>
            </w:r>
          </w:p>
        </w:tc>
      </w:tr>
      <w:tr>
        <w:trPr>
          <w:cantSplit/>
        </w:trPr>
        <w:tc>
          <w:tcPr>
            <w:tcW w:type="dxa" w:w="208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Record_ID</w:t>
            </w:r>
          </w:p>
        </w:tc>
        <w:tc>
          <w:tcPr>
            <w:tcW w:type="dxa" w:w="252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Text identifier</w:t>
            </w:r>
          </w:p>
        </w:tc>
        <w:tc>
          <w:tcPr>
            <w:tcW w:type="dxa" w:w="561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Must be unique; never use as a predictive feature by default</w:t>
            </w:r>
          </w:p>
        </w:tc>
      </w:tr>
      <w:tr>
        <w:trPr>
          <w:cantSplit/>
        </w:trPr>
        <w:tc>
          <w:tcPr>
            <w:tcW w:type="dxa" w:w="208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Farm_ID</w:t>
            </w:r>
          </w:p>
        </w:tc>
        <w:tc>
          <w:tcPr>
            <w:tcW w:type="dxa" w:w="2520"/>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Categorical ID</w:t>
            </w:r>
          </w:p>
        </w:tc>
        <w:tc>
          <w:tcPr>
            <w:tcW w:type="dxa" w:w="561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Non-empty; validate against approved farm registry if available</w:t>
            </w:r>
          </w:p>
        </w:tc>
      </w:tr>
      <w:tr>
        <w:trPr>
          <w:cantSplit/>
        </w:trPr>
        <w:tc>
          <w:tcPr>
            <w:tcW w:type="dxa" w:w="208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Observation_Date</w:t>
            </w:r>
          </w:p>
        </w:tc>
        <w:tc>
          <w:tcPr>
            <w:tcW w:type="dxa" w:w="252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Date</w:t>
            </w:r>
          </w:p>
        </w:tc>
        <w:tc>
          <w:tcPr>
            <w:tcW w:type="dxa" w:w="561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Parse with source-specific format; invalid dates flagged</w:t>
            </w:r>
          </w:p>
        </w:tc>
      </w:tr>
      <w:tr>
        <w:trPr>
          <w:cantSplit/>
        </w:trPr>
        <w:tc>
          <w:tcPr>
            <w:tcW w:type="dxa" w:w="208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District, Crop, Season</w:t>
            </w:r>
          </w:p>
        </w:tc>
        <w:tc>
          <w:tcPr>
            <w:tcW w:type="dxa" w:w="2520"/>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Categorical text</w:t>
            </w:r>
          </w:p>
        </w:tc>
        <w:tc>
          <w:tcPr>
            <w:tcW w:type="dxa" w:w="561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Trim whitespace and map approved spelling variants</w:t>
            </w:r>
          </w:p>
        </w:tc>
      </w:tr>
      <w:tr>
        <w:trPr>
          <w:cantSplit/>
        </w:trPr>
        <w:tc>
          <w:tcPr>
            <w:tcW w:type="dxa" w:w="208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Area_Value + Area_Unit</w:t>
            </w:r>
          </w:p>
        </w:tc>
        <w:tc>
          <w:tcPr>
            <w:tcW w:type="dxa" w:w="252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Numeric + source unit</w:t>
            </w:r>
          </w:p>
        </w:tc>
        <w:tc>
          <w:tcPr>
            <w:tcW w:type="dxa" w:w="561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Convert to hectares; area must be positive for yield calculation</w:t>
            </w:r>
          </w:p>
        </w:tc>
      </w:tr>
      <w:tr>
        <w:trPr>
          <w:cantSplit/>
        </w:trPr>
        <w:tc>
          <w:tcPr>
            <w:tcW w:type="dxa" w:w="208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Production_Value + Production_Unit</w:t>
            </w:r>
          </w:p>
        </w:tc>
        <w:tc>
          <w:tcPr>
            <w:tcW w:type="dxa" w:w="2520"/>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Numeric + source unit</w:t>
            </w:r>
          </w:p>
        </w:tc>
        <w:tc>
          <w:tcPr>
            <w:tcW w:type="dxa" w:w="561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Convert to tonnes; negative production is invalid</w:t>
            </w:r>
          </w:p>
        </w:tc>
      </w:tr>
      <w:tr>
        <w:trPr>
          <w:cantSplit/>
        </w:trPr>
        <w:tc>
          <w:tcPr>
            <w:tcW w:type="dxa" w:w="208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Reported_Yield_t_ha</w:t>
            </w:r>
          </w:p>
        </w:tc>
        <w:tc>
          <w:tcPr>
            <w:tcW w:type="dxa" w:w="252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Numeric, t/ha</w:t>
            </w:r>
          </w:p>
        </w:tc>
        <w:tc>
          <w:tcPr>
            <w:tcW w:type="dxa" w:w="561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Compare with production ÷ area where both are valid</w:t>
            </w:r>
          </w:p>
        </w:tc>
      </w:tr>
      <w:tr>
        <w:trPr>
          <w:cantSplit/>
        </w:trPr>
        <w:tc>
          <w:tcPr>
            <w:tcW w:type="dxa" w:w="208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Rainfall_mm</w:t>
            </w:r>
          </w:p>
        </w:tc>
        <w:tc>
          <w:tcPr>
            <w:tcW w:type="dxa" w:w="2520"/>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Numeric, mm</w:t>
            </w:r>
          </w:p>
        </w:tc>
        <w:tc>
          <w:tcPr>
            <w:tcW w:type="dxa" w:w="561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Non-negative; compare with station and time period</w:t>
            </w:r>
          </w:p>
        </w:tc>
      </w:tr>
      <w:tr>
        <w:trPr>
          <w:cantSplit/>
        </w:trPr>
        <w:tc>
          <w:tcPr>
            <w:tcW w:type="dxa" w:w="208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Farmgate_Price_Value + Price_Unit</w:t>
            </w:r>
          </w:p>
        </w:tc>
        <w:tc>
          <w:tcPr>
            <w:tcW w:type="dxa" w:w="252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Numeric + source unit</w:t>
            </w:r>
          </w:p>
        </w:tc>
        <w:tc>
          <w:tcPr>
            <w:tcW w:type="dxa" w:w="561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Convert to INR/quintal only after unit is confirmed</w:t>
            </w:r>
          </w:p>
        </w:tc>
      </w:tr>
      <w:tr>
        <w:trPr>
          <w:cantSplit/>
        </w:trPr>
        <w:tc>
          <w:tcPr>
            <w:tcW w:type="dxa" w:w="208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Fertilizer_kg_ha</w:t>
            </w:r>
          </w:p>
        </w:tc>
        <w:tc>
          <w:tcPr>
            <w:tcW w:type="dxa" w:w="2520"/>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Numeric, kg/ha</w:t>
            </w:r>
          </w:p>
        </w:tc>
        <w:tc>
          <w:tcPr>
            <w:tcW w:type="dxa" w:w="561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Non-negative; clarify whether value is product mass or nutrient mass</w:t>
            </w:r>
          </w:p>
        </w:tc>
      </w:tr>
    </w:tbl>
    <w:p>
      <w:pPr>
        <w:spacing w:after="20"/>
      </w:pPr>
    </w:p>
    <w:p>
      <w:pPr>
        <w:pStyle w:val="Heading2"/>
      </w:pPr>
      <w:r>
        <w:t>2.1 Common quality issues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944"/>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Issue</w:t>
            </w:r>
          </w:p>
        </w:tc>
        <w:tc>
          <w:tcPr>
            <w:tcW w:type="dxa" w:w="3384"/>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Example</w:t>
            </w:r>
          </w:p>
        </w:tc>
        <w:tc>
          <w:tcPr>
            <w:tcW w:type="dxa" w:w="4896"/>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Risk if ignored</w:t>
            </w:r>
          </w:p>
        </w:tc>
      </w:tr>
      <w:tr>
        <w:trPr>
          <w:cantSplit/>
        </w:trPr>
        <w:tc>
          <w:tcPr>
            <w:tcW w:type="dxa" w:w="194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Missing value</w:t>
            </w:r>
          </w:p>
        </w:tc>
        <w:tc>
          <w:tcPr>
            <w:tcW w:type="dxa" w:w="338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Rainfall blank for a farm-date</w:t>
            </w:r>
          </w:p>
        </w:tc>
        <w:tc>
          <w:tcPr>
            <w:tcW w:type="dxa" w:w="489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Biased means, reduced rows, or hidden seasonal gaps</w:t>
            </w:r>
          </w:p>
        </w:tc>
      </w:tr>
      <w:tr>
        <w:trPr>
          <w:cantSplit/>
        </w:trPr>
        <w:tc>
          <w:tcPr>
            <w:tcW w:type="dxa" w:w="194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Format inconsistency</w:t>
            </w:r>
          </w:p>
        </w:tc>
        <w:tc>
          <w:tcPr>
            <w:tcW w:type="dxa" w:w="338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Davangere / Davanagere / extra spaces</w:t>
            </w:r>
          </w:p>
        </w:tc>
        <w:tc>
          <w:tcPr>
            <w:tcW w:type="dxa" w:w="489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Duplicate categories and fragmented totals</w:t>
            </w:r>
          </w:p>
        </w:tc>
      </w:tr>
      <w:tr>
        <w:trPr>
          <w:cantSplit/>
        </w:trPr>
        <w:tc>
          <w:tcPr>
            <w:tcW w:type="dxa" w:w="194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Unit inconsistency</w:t>
            </w:r>
          </w:p>
        </w:tc>
        <w:tc>
          <w:tcPr>
            <w:tcW w:type="dxa" w:w="338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1 acre mixed with hectares; kg mixed with tonnes</w:t>
            </w:r>
          </w:p>
        </w:tc>
        <w:tc>
          <w:tcPr>
            <w:tcW w:type="dxa" w:w="489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Incorrect area, production, price, and yield comparisons</w:t>
            </w:r>
          </w:p>
        </w:tc>
      </w:tr>
      <w:tr>
        <w:trPr>
          <w:cantSplit/>
        </w:trPr>
        <w:tc>
          <w:tcPr>
            <w:tcW w:type="dxa" w:w="194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Duplicate record</w:t>
            </w:r>
          </w:p>
        </w:tc>
        <w:tc>
          <w:tcPr>
            <w:tcW w:type="dxa" w:w="338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Same farm, date, crop and season entered twice</w:t>
            </w:r>
          </w:p>
        </w:tc>
        <w:tc>
          <w:tcPr>
            <w:tcW w:type="dxa" w:w="489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Double-counted area or production</w:t>
            </w:r>
          </w:p>
        </w:tc>
      </w:tr>
      <w:tr>
        <w:trPr>
          <w:cantSplit/>
        </w:trPr>
        <w:tc>
          <w:tcPr>
            <w:tcW w:type="dxa" w:w="194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Outlier / anomaly</w:t>
            </w:r>
          </w:p>
        </w:tc>
        <w:tc>
          <w:tcPr>
            <w:tcW w:type="dxa" w:w="338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Reported grain yield of 50 t/ha in example</w:t>
            </w:r>
          </w:p>
        </w:tc>
        <w:tc>
          <w:tcPr>
            <w:tcW w:type="dxa" w:w="489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Distorted averages or model fit if unit/error not investigated</w:t>
            </w:r>
          </w:p>
        </w:tc>
      </w:tr>
      <w:tr>
        <w:trPr>
          <w:cantSplit/>
        </w:trPr>
        <w:tc>
          <w:tcPr>
            <w:tcW w:type="dxa" w:w="194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Domain violation</w:t>
            </w:r>
          </w:p>
        </w:tc>
        <w:tc>
          <w:tcPr>
            <w:tcW w:type="dxa" w:w="338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Negative rainfall or fertilizer quantity</w:t>
            </w:r>
          </w:p>
        </w:tc>
        <w:tc>
          <w:tcPr>
            <w:tcW w:type="dxa" w:w="489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Physically impossible or malformed input</w:t>
            </w:r>
          </w:p>
        </w:tc>
      </w:tr>
      <w:tr>
        <w:trPr>
          <w:cantSplit/>
        </w:trPr>
        <w:tc>
          <w:tcPr>
            <w:tcW w:type="dxa" w:w="194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Logical contradiction</w:t>
            </w:r>
          </w:p>
        </w:tc>
        <w:tc>
          <w:tcPr>
            <w:tcW w:type="dxa" w:w="338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Area = 0 while production &gt; 0</w:t>
            </w:r>
          </w:p>
        </w:tc>
        <w:tc>
          <w:tcPr>
            <w:tcW w:type="dxa" w:w="489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Yield division invalid; fields need source verification</w:t>
            </w:r>
          </w:p>
        </w:tc>
      </w:tr>
      <w:tr>
        <w:trPr>
          <w:cantSplit/>
        </w:trPr>
        <w:tc>
          <w:tcPr>
            <w:tcW w:type="dxa" w:w="194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Invalid date</w:t>
            </w:r>
          </w:p>
        </w:tc>
        <w:tc>
          <w:tcPr>
            <w:tcW w:type="dxa" w:w="338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31-14-2025</w:t>
            </w:r>
          </w:p>
        </w:tc>
        <w:tc>
          <w:tcPr>
            <w:tcW w:type="dxa" w:w="489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Incorrect time-series placement or lost temporal ordering</w:t>
            </w:r>
          </w:p>
        </w:tc>
      </w:tr>
      <w:tr>
        <w:trPr>
          <w:cantSplit/>
        </w:trPr>
        <w:tc>
          <w:tcPr>
            <w:tcW w:type="dxa" w:w="194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Category missing</w:t>
            </w:r>
          </w:p>
        </w:tc>
        <w:tc>
          <w:tcPr>
            <w:tcW w:type="dxa" w:w="338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No crop recorded</w:t>
            </w:r>
          </w:p>
        </w:tc>
        <w:tc>
          <w:tcPr>
            <w:tcW w:type="dxa" w:w="489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Unsafe crop-level aggregation or fabricated category assignment</w:t>
            </w:r>
          </w:p>
        </w:tc>
      </w:tr>
    </w:tbl>
    <w:p>
      <w:pPr>
        <w:spacing w:after="20"/>
      </w:pPr>
    </w:p>
    <w:p>
      <w:pPr>
        <w:pStyle w:val="Heading1"/>
        <w:pageBreakBefore/>
      </w:pPr>
      <w:r>
        <w:t>3. Step-by-Step Data Cleaning Plan</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419"/>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Step</w:t>
            </w:r>
          </w:p>
        </w:tc>
        <w:tc>
          <w:tcPr>
            <w:tcW w:type="dxa" w:w="7805"/>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Action and output</w:t>
            </w:r>
          </w:p>
        </w:tc>
      </w:tr>
      <w:tr>
        <w:trPr>
          <w:cantSplit/>
        </w:trPr>
        <w:tc>
          <w:tcPr>
            <w:tcW w:type="dxa" w:w="2419"/>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1. Acquire and preserve</w:t>
            </w:r>
          </w:p>
        </w:tc>
        <w:tc>
          <w:tcPr>
            <w:tcW w:type="dxa" w:w="7805"/>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Save the original downloaded file as read-only. Record source URL/owner, extraction date, filters, license, file size and a checksum if possible. Never overwrite the raw file.</w:t>
            </w:r>
          </w:p>
        </w:tc>
      </w:tr>
      <w:tr>
        <w:trPr>
          <w:cantSplit/>
        </w:trPr>
        <w:tc>
          <w:tcPr>
            <w:tcW w:type="dxa" w:w="2419"/>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2. Profile the dataset</w:t>
            </w:r>
          </w:p>
        </w:tc>
        <w:tc>
          <w:tcPr>
            <w:tcW w:type="dxa" w:w="7805"/>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Record row/column counts, data types, unique categories, missingness by field, duplicate candidates, ranges, percentiles, and distributions. Generate a baseline data-quality report before edits.</w:t>
            </w:r>
          </w:p>
        </w:tc>
      </w:tr>
      <w:tr>
        <w:trPr>
          <w:cantSplit/>
        </w:trPr>
        <w:tc>
          <w:tcPr>
            <w:tcW w:type="dxa" w:w="2419"/>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3. Confirm schema and record grain</w:t>
            </w:r>
          </w:p>
        </w:tc>
        <w:tc>
          <w:tcPr>
            <w:tcW w:type="dxa" w:w="7805"/>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Define each field, unit, acceptable domain, primary key and observation grain with a data dictionary. Decide which rows are observations, summaries, or transactions.</w:t>
            </w:r>
          </w:p>
        </w:tc>
      </w:tr>
      <w:tr>
        <w:trPr>
          <w:cantSplit/>
        </w:trPr>
        <w:tc>
          <w:tcPr>
            <w:tcW w:type="dxa" w:w="2419"/>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4. Standardize text and identifiers</w:t>
            </w:r>
          </w:p>
        </w:tc>
        <w:tc>
          <w:tcPr>
            <w:tcW w:type="dxa" w:w="7805"/>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Trim whitespace; standardize casing; map only verified synonyms to canonical labels; preserve raw text in audit columns. Do not merge ambiguous place names without a reference list.</w:t>
            </w:r>
          </w:p>
        </w:tc>
      </w:tr>
      <w:tr>
        <w:trPr>
          <w:cantSplit/>
        </w:trPr>
        <w:tc>
          <w:tcPr>
            <w:tcW w:type="dxa" w:w="2419"/>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5. Parse dates and units</w:t>
            </w:r>
          </w:p>
        </w:tc>
        <w:tc>
          <w:tcPr>
            <w:tcW w:type="dxa" w:w="7805"/>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Use source-aware date formats and explicit unit conversions. Unparsed dates and unknown units become flagged missing standardized fields, not guessed values.</w:t>
            </w:r>
          </w:p>
        </w:tc>
      </w:tr>
      <w:tr>
        <w:trPr>
          <w:cantSplit/>
        </w:trPr>
        <w:tc>
          <w:tcPr>
            <w:tcW w:type="dxa" w:w="2419"/>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6. Detect duplicates</w:t>
            </w:r>
          </w:p>
        </w:tc>
        <w:tc>
          <w:tcPr>
            <w:tcW w:type="dxa" w:w="7805"/>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Check exact duplicates and candidate business-key duplicates after date/category normalization. Compare conflicting duplicates with the source; keep a traceable decision log.</w:t>
            </w:r>
          </w:p>
        </w:tc>
      </w:tr>
      <w:tr>
        <w:trPr>
          <w:cantSplit/>
        </w:trPr>
        <w:tc>
          <w:tcPr>
            <w:tcW w:type="dxa" w:w="2419"/>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7. Assess missing values</w:t>
            </w:r>
          </w:p>
        </w:tc>
        <w:tc>
          <w:tcPr>
            <w:tcW w:type="dxa" w:w="7805"/>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Measure amount and pattern of missingness. Distinguish not collected, not applicable, suppressed, invalid parse, and true zero. Search for source correction before imputation.</w:t>
            </w:r>
          </w:p>
        </w:tc>
      </w:tr>
      <w:tr>
        <w:trPr>
          <w:cantSplit/>
        </w:trPr>
        <w:tc>
          <w:tcPr>
            <w:tcW w:type="dxa" w:w="2419"/>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8. Apply variable-specific treatments</w:t>
            </w:r>
          </w:p>
        </w:tc>
        <w:tc>
          <w:tcPr>
            <w:tcW w:type="dxa" w:w="7805"/>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Use defensible imputations for eligible predictors; leave target labels missing for supervised training or exclude those rows from that target-specific task. Add imputation indicators.</w:t>
            </w:r>
          </w:p>
        </w:tc>
      </w:tr>
      <w:tr>
        <w:trPr>
          <w:cantSplit/>
        </w:trPr>
        <w:tc>
          <w:tcPr>
            <w:tcW w:type="dxa" w:w="2419"/>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9. Validate domain and cross-field logic</w:t>
            </w:r>
          </w:p>
        </w:tc>
        <w:tc>
          <w:tcPr>
            <w:tcW w:type="dxa" w:w="7805"/>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Check non-negative area/production/rainfall/price; positive area for yield; production/area agreement; crop-season compatibility; and plausible ranges informed by metadata.</w:t>
            </w:r>
          </w:p>
        </w:tc>
      </w:tr>
      <w:tr>
        <w:trPr>
          <w:cantSplit/>
        </w:trPr>
        <w:tc>
          <w:tcPr>
            <w:tcW w:type="dxa" w:w="2419"/>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10. Investigate outliers</w:t>
            </w:r>
          </w:p>
        </w:tc>
        <w:tc>
          <w:tcPr>
            <w:tcW w:type="dxa" w:w="7805"/>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Use visual inspection, IQR or robust z-scores where sample size supports them, seasonal/crop peer comparisons, and source checks. Flag before removing or winsorizing.</w:t>
            </w:r>
          </w:p>
        </w:tc>
      </w:tr>
      <w:tr>
        <w:trPr>
          <w:cantSplit/>
        </w:trPr>
        <w:tc>
          <w:tcPr>
            <w:tcW w:type="dxa" w:w="2419"/>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11. Build analysis features</w:t>
            </w:r>
          </w:p>
        </w:tc>
        <w:tc>
          <w:tcPr>
            <w:tcW w:type="dxa" w:w="7805"/>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Calculate yield only from valid area and production, aggregate to agreed time/place level, encode categories, and scale numeric features only where needed by the model.</w:t>
            </w:r>
          </w:p>
        </w:tc>
      </w:tr>
      <w:tr>
        <w:trPr>
          <w:cantSplit/>
        </w:trPr>
        <w:tc>
          <w:tcPr>
            <w:tcW w:type="dxa" w:w="2419"/>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12. Validate and export</w:t>
            </w:r>
          </w:p>
        </w:tc>
        <w:tc>
          <w:tcPr>
            <w:tcW w:type="dxa" w:w="7805"/>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Run acceptance checks, compare before/after counts and summary distributions, write cleaned data and issue log, and document every exception in the run summary.</w:t>
            </w:r>
          </w:p>
        </w:tc>
      </w:tr>
    </w:tbl>
    <w:p>
      <w:pPr>
        <w:spacing w:after="20"/>
      </w:pPr>
    </w:p>
    <w:p>
      <w:pPr>
        <w:pStyle w:val="Heading1"/>
      </w:pPr>
      <w:r>
        <w:t>4. Rules for Specific Data-Quality Problems</w:t>
      </w:r>
    </w:p>
    <w:p>
      <w:pPr>
        <w:pStyle w:val="Heading2"/>
      </w:pPr>
      <w:r>
        <w:t>4.1 Missing-value strategy</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160"/>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Variable class</w:t>
            </w:r>
          </w:p>
        </w:tc>
        <w:tc>
          <w:tcPr>
            <w:tcW w:type="dxa" w:w="4392"/>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Preferred action</w:t>
            </w:r>
          </w:p>
        </w:tc>
        <w:tc>
          <w:tcPr>
            <w:tcW w:type="dxa" w:w="3672"/>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Avoid</w:t>
            </w:r>
          </w:p>
        </w:tc>
      </w:tr>
      <w:tr>
        <w:trPr>
          <w:cantSplit/>
        </w:trPr>
        <w:tc>
          <w:tcPr>
            <w:tcW w:type="dxa" w:w="216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Area, production or yield target</w:t>
            </w:r>
          </w:p>
        </w:tc>
        <w:tc>
          <w:tcPr>
            <w:tcW w:type="dxa" w:w="439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Ask source to correct. If unresolved, retain as missing and exclude only from analyses requiring that target; report exclusions.</w:t>
            </w:r>
          </w:p>
        </w:tc>
        <w:tc>
          <w:tcPr>
            <w:tcW w:type="dxa" w:w="367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Do not fill a missing target with the overall mean or a guessed value.</w:t>
            </w:r>
          </w:p>
        </w:tc>
      </w:tr>
      <w:tr>
        <w:trPr>
          <w:cantSplit/>
        </w:trPr>
        <w:tc>
          <w:tcPr>
            <w:tcW w:type="dxa" w:w="2160"/>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Rainfall/weather predictor</w:t>
            </w:r>
          </w:p>
        </w:tc>
        <w:tc>
          <w:tcPr>
            <w:tcW w:type="dxa" w:w="439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Prefer a validated weather station/grid for matching date and location. If unavailable, consider within-series interpolation or crop-season median only if justified; add imputation flag.</w:t>
            </w:r>
          </w:p>
        </w:tc>
        <w:tc>
          <w:tcPr>
            <w:tcW w:type="dxa" w:w="367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Do not interpolate across large gaps, seasons, stations, or extremes without rationale.</w:t>
            </w:r>
          </w:p>
        </w:tc>
      </w:tr>
      <w:tr>
        <w:trPr>
          <w:cantSplit/>
        </w:trPr>
        <w:tc>
          <w:tcPr>
            <w:tcW w:type="dxa" w:w="216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Numeric input predictor</w:t>
            </w:r>
          </w:p>
        </w:tc>
        <w:tc>
          <w:tcPr>
            <w:tcW w:type="dxa" w:w="439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Use median or stratified median (crop/region/season) if missingness and sample size support it; fit imputation on training data only.</w:t>
            </w:r>
          </w:p>
        </w:tc>
        <w:tc>
          <w:tcPr>
            <w:tcW w:type="dxa" w:w="367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Do not compute imputation values using future/test data.</w:t>
            </w:r>
          </w:p>
        </w:tc>
      </w:tr>
      <w:tr>
        <w:trPr>
          <w:cantSplit/>
        </w:trPr>
        <w:tc>
          <w:tcPr>
            <w:tcW w:type="dxa" w:w="2160"/>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Categorical predictor</w:t>
            </w:r>
          </w:p>
        </w:tc>
        <w:tc>
          <w:tcPr>
            <w:tcW w:type="dxa" w:w="439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Use an explicit “Unknown/Not recorded” category where meaningful, or mode only when justified.</w:t>
            </w:r>
          </w:p>
        </w:tc>
        <w:tc>
          <w:tcPr>
            <w:tcW w:type="dxa" w:w="367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Do not use mode to guess a missing crop label for crop-specific conclusions.</w:t>
            </w:r>
          </w:p>
        </w:tc>
      </w:tr>
      <w:tr>
        <w:trPr>
          <w:cantSplit/>
        </w:trPr>
        <w:tc>
          <w:tcPr>
            <w:tcW w:type="dxa" w:w="216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Structural missing / not applicable</w:t>
            </w:r>
          </w:p>
        </w:tc>
        <w:tc>
          <w:tcPr>
            <w:tcW w:type="dxa" w:w="439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Keep as a separate status or retain null with a reason code.</w:t>
            </w:r>
          </w:p>
        </w:tc>
        <w:tc>
          <w:tcPr>
            <w:tcW w:type="dxa" w:w="367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Do not treat “not applicable” as zero.</w:t>
            </w:r>
          </w:p>
        </w:tc>
      </w:tr>
    </w:tbl>
    <w:p>
      <w:pPr>
        <w:spacing w:after="20"/>
      </w:pPr>
    </w:p>
    <w:tbl>
      <w:tblPr>
        <w:tblW w:type="auto" w:w="0"/>
        <w:jc w:val="center"/>
        <w:tblLook w:firstColumn="1" w:firstRow="1" w:lastColumn="0" w:lastRow="0" w:noHBand="0" w:noVBand="1" w:val="04A0"/>
      </w:tblPr>
      <w:tblGrid>
        <w:gridCol w:w="9994"/>
      </w:tblGrid>
      <w:tr>
        <w:tc>
          <w:tcPr>
            <w:tcW w:type="dxa" w:w="9994"/>
            <w:shd w:fill="EAF5F1"/>
            <w:tcMar>
              <w:top w:w="150" w:type="dxa"/>
              <w:start w:w="180" w:type="dxa"/>
              <w:bottom w:w="150" w:type="dxa"/>
              <w:end w:w="180" w:type="dxa"/>
            </w:tcMar>
          </w:tcPr>
          <w:p>
            <w:pPr>
              <w:spacing w:after="80"/>
            </w:pPr>
            <w:r/>
            <w:r>
              <w:rPr>
                <w:b/>
                <w:color w:val="133B33"/>
                <w:sz w:val="20"/>
              </w:rPr>
              <w:t>Decision rule</w:t>
            </w:r>
          </w:p>
          <w:p>
            <w:pPr>
              <w:spacing w:after="0"/>
            </w:pPr>
            <w:r>
              <w:rPr>
                <w:color w:val="344054"/>
                <w:sz w:val="18"/>
              </w:rPr>
              <w:t>Before imputation, answer: Why is it missing? Is there a trusted source to retrieve it? Is it a model input or the outcome to predict? How much is missing and in what pattern? What evidence supports the chosen method? Record the answers in the cleaning log.</w:t>
            </w:r>
          </w:p>
        </w:tc>
      </w:tr>
    </w:tbl>
    <w:p>
      <w:pPr>
        <w:spacing w:after="20"/>
      </w:pPr>
    </w:p>
    <w:p>
      <w:pPr>
        <w:pStyle w:val="Heading2"/>
      </w:pPr>
      <w:r>
        <w:t>4.2 Inconsistent formats and units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448"/>
            <w:vAlign w:val="center"/>
            <w:tcMar>
              <w:top w:w="90" w:type="dxa"/>
              <w:start w:w="100" w:type="dxa"/>
              <w:bottom w:w="90" w:type="dxa"/>
              <w:end w:w="100" w:type="dxa"/>
            </w:tcMar>
            <w:shd w:fill="133B33"/>
          </w:tcPr>
          <w:p>
            <w:pPr>
              <w:spacing w:after="20" w:before="20"/>
            </w:pPr>
            <w:r>
              <w:rPr>
                <w:rFonts w:ascii="Aptos" w:hAnsi="Aptos"/>
                <w:b/>
                <w:color w:val="FFFFFF"/>
                <w:sz w:val="16"/>
              </w:rPr>
            </w:r>
            <w:r>
              <w:rPr>
                <w:rFonts w:ascii="Aptos" w:hAnsi="Aptos"/>
                <w:b/>
                <w:color w:val="FFFFFF"/>
                <w:sz w:val="16"/>
              </w:rPr>
              <w:t>Raw example</w:t>
            </w:r>
          </w:p>
        </w:tc>
        <w:tc>
          <w:tcPr>
            <w:tcW w:type="dxa" w:w="3240"/>
            <w:vAlign w:val="center"/>
            <w:tcMar>
              <w:top w:w="90" w:type="dxa"/>
              <w:start w:w="100" w:type="dxa"/>
              <w:bottom w:w="90" w:type="dxa"/>
              <w:end w:w="100" w:type="dxa"/>
            </w:tcMar>
            <w:shd w:fill="133B33"/>
          </w:tcPr>
          <w:p>
            <w:pPr>
              <w:spacing w:after="20" w:before="20"/>
            </w:pPr>
            <w:r>
              <w:rPr>
                <w:rFonts w:ascii="Aptos" w:hAnsi="Aptos"/>
                <w:b/>
                <w:color w:val="FFFFFF"/>
                <w:sz w:val="16"/>
              </w:rPr>
            </w:r>
            <w:r>
              <w:rPr>
                <w:rFonts w:ascii="Aptos" w:hAnsi="Aptos"/>
                <w:b/>
                <w:color w:val="FFFFFF"/>
                <w:sz w:val="16"/>
              </w:rPr>
              <w:t>Canonical representation</w:t>
            </w:r>
          </w:p>
        </w:tc>
        <w:tc>
          <w:tcPr>
            <w:tcW w:type="dxa" w:w="4536"/>
            <w:vAlign w:val="center"/>
            <w:tcMar>
              <w:top w:w="90" w:type="dxa"/>
              <w:start w:w="100" w:type="dxa"/>
              <w:bottom w:w="90" w:type="dxa"/>
              <w:end w:w="100" w:type="dxa"/>
            </w:tcMar>
            <w:shd w:fill="133B33"/>
          </w:tcPr>
          <w:p>
            <w:pPr>
              <w:spacing w:after="20" w:before="20"/>
            </w:pPr>
            <w:r>
              <w:rPr>
                <w:rFonts w:ascii="Aptos" w:hAnsi="Aptos"/>
                <w:b/>
                <w:color w:val="FFFFFF"/>
                <w:sz w:val="16"/>
              </w:rPr>
            </w:r>
            <w:r>
              <w:rPr>
                <w:rFonts w:ascii="Aptos" w:hAnsi="Aptos"/>
                <w:b/>
                <w:color w:val="FFFFFF"/>
                <w:sz w:val="16"/>
              </w:rPr>
              <w:t>Rule</w:t>
            </w:r>
          </w:p>
        </w:tc>
      </w:tr>
      <w:tr>
        <w:trPr>
          <w:cantSplit/>
        </w:trPr>
        <w:tc>
          <w:tcPr>
            <w:tcW w:type="dxa" w:w="2448"/>
            <w:vAlign w:val="center"/>
            <w:tcMar>
              <w:top w:w="90" w:type="dxa"/>
              <w:start w:w="100" w:type="dxa"/>
              <w:bottom w:w="90" w:type="dxa"/>
              <w:end w:w="100" w:type="dxa"/>
            </w:tcMar>
          </w:tcPr>
          <w:p>
            <w:pPr>
              <w:spacing w:after="20" w:before="20"/>
            </w:pPr>
            <w:r>
              <w:rPr>
                <w:rFonts w:ascii="Aptos" w:hAnsi="Aptos"/>
                <w:sz w:val="16"/>
              </w:rPr>
            </w:r>
            <w:r>
              <w:rPr>
                <w:rFonts w:ascii="Aptos" w:hAnsi="Aptos"/>
                <w:b w:val="0"/>
                <w:sz w:val="16"/>
              </w:rPr>
              <w:t>" rice ", "Rice", "RICE"</w:t>
            </w:r>
          </w:p>
        </w:tc>
        <w:tc>
          <w:tcPr>
            <w:tcW w:type="dxa" w:w="3240"/>
            <w:vAlign w:val="center"/>
            <w:tcMar>
              <w:top w:w="90" w:type="dxa"/>
              <w:start w:w="100" w:type="dxa"/>
              <w:bottom w:w="90" w:type="dxa"/>
              <w:end w:w="100" w:type="dxa"/>
            </w:tcMar>
          </w:tcPr>
          <w:p>
            <w:pPr>
              <w:spacing w:after="20" w:before="20"/>
            </w:pPr>
            <w:r>
              <w:rPr>
                <w:rFonts w:ascii="Aptos" w:hAnsi="Aptos"/>
                <w:sz w:val="16"/>
              </w:rPr>
            </w:r>
            <w:r>
              <w:rPr>
                <w:rFonts w:ascii="Aptos" w:hAnsi="Aptos"/>
                <w:b w:val="0"/>
                <w:sz w:val="16"/>
              </w:rPr>
              <w:t>Rice</w:t>
            </w:r>
          </w:p>
        </w:tc>
        <w:tc>
          <w:tcPr>
            <w:tcW w:type="dxa" w:w="4536"/>
            <w:vAlign w:val="center"/>
            <w:tcMar>
              <w:top w:w="90" w:type="dxa"/>
              <w:start w:w="100" w:type="dxa"/>
              <w:bottom w:w="90" w:type="dxa"/>
              <w:end w:w="100" w:type="dxa"/>
            </w:tcMar>
          </w:tcPr>
          <w:p>
            <w:pPr>
              <w:spacing w:after="20" w:before="20"/>
            </w:pPr>
            <w:r>
              <w:rPr>
                <w:rFonts w:ascii="Aptos" w:hAnsi="Aptos"/>
                <w:sz w:val="16"/>
              </w:rPr>
            </w:r>
            <w:r>
              <w:rPr>
                <w:rFonts w:ascii="Aptos" w:hAnsi="Aptos"/>
                <w:b w:val="0"/>
                <w:sz w:val="16"/>
              </w:rPr>
              <w:t>Trim and title/canonical case; use approved crop dictionary.</w:t>
            </w:r>
          </w:p>
        </w:tc>
      </w:tr>
      <w:tr>
        <w:trPr>
          <w:cantSplit/>
        </w:trPr>
        <w:tc>
          <w:tcPr>
            <w:tcW w:type="dxa" w:w="2448"/>
            <w:vAlign w:val="center"/>
            <w:tcMar>
              <w:top w:w="90" w:type="dxa"/>
              <w:start w:w="100" w:type="dxa"/>
              <w:bottom w:w="90" w:type="dxa"/>
              <w:end w:w="100" w:type="dxa"/>
            </w:tcMar>
            <w:shd w:fill="F4F7F6"/>
          </w:tcPr>
          <w:p>
            <w:pPr>
              <w:spacing w:after="20" w:before="20"/>
            </w:pPr>
            <w:r>
              <w:rPr>
                <w:rFonts w:ascii="Aptos" w:hAnsi="Aptos"/>
                <w:sz w:val="16"/>
              </w:rPr>
            </w:r>
            <w:r>
              <w:rPr>
                <w:rFonts w:ascii="Aptos" w:hAnsi="Aptos"/>
                <w:b w:val="0"/>
                <w:sz w:val="16"/>
              </w:rPr>
              <w:t>Davanagere / Davangere</w:t>
            </w:r>
          </w:p>
        </w:tc>
        <w:tc>
          <w:tcPr>
            <w:tcW w:type="dxa" w:w="3240"/>
            <w:vAlign w:val="center"/>
            <w:tcMar>
              <w:top w:w="90" w:type="dxa"/>
              <w:start w:w="100" w:type="dxa"/>
              <w:bottom w:w="90" w:type="dxa"/>
              <w:end w:w="100" w:type="dxa"/>
            </w:tcMar>
            <w:shd w:fill="F4F7F6"/>
          </w:tcPr>
          <w:p>
            <w:pPr>
              <w:spacing w:after="20" w:before="20"/>
            </w:pPr>
            <w:r>
              <w:rPr>
                <w:rFonts w:ascii="Aptos" w:hAnsi="Aptos"/>
                <w:sz w:val="16"/>
              </w:rPr>
            </w:r>
            <w:r>
              <w:rPr>
                <w:rFonts w:ascii="Aptos" w:hAnsi="Aptos"/>
                <w:b w:val="0"/>
                <w:sz w:val="16"/>
              </w:rPr>
              <w:t>One verified district label</w:t>
            </w:r>
          </w:p>
        </w:tc>
        <w:tc>
          <w:tcPr>
            <w:tcW w:type="dxa" w:w="4536"/>
            <w:vAlign w:val="center"/>
            <w:tcMar>
              <w:top w:w="90" w:type="dxa"/>
              <w:start w:w="100" w:type="dxa"/>
              <w:bottom w:w="90" w:type="dxa"/>
              <w:end w:w="100" w:type="dxa"/>
            </w:tcMar>
            <w:shd w:fill="F4F7F6"/>
          </w:tcPr>
          <w:p>
            <w:pPr>
              <w:spacing w:after="20" w:before="20"/>
            </w:pPr>
            <w:r>
              <w:rPr>
                <w:rFonts w:ascii="Aptos" w:hAnsi="Aptos"/>
                <w:sz w:val="16"/>
              </w:rPr>
            </w:r>
            <w:r>
              <w:rPr>
                <w:rFonts w:ascii="Aptos" w:hAnsi="Aptos"/>
                <w:b w:val="0"/>
                <w:sz w:val="16"/>
              </w:rPr>
              <w:t>Map only if reference source confirms they refer to the same entity.</w:t>
            </w:r>
          </w:p>
        </w:tc>
      </w:tr>
      <w:tr>
        <w:trPr>
          <w:cantSplit/>
        </w:trPr>
        <w:tc>
          <w:tcPr>
            <w:tcW w:type="dxa" w:w="2448"/>
            <w:vAlign w:val="center"/>
            <w:tcMar>
              <w:top w:w="90" w:type="dxa"/>
              <w:start w:w="100" w:type="dxa"/>
              <w:bottom w:w="90" w:type="dxa"/>
              <w:end w:w="100" w:type="dxa"/>
            </w:tcMar>
          </w:tcPr>
          <w:p>
            <w:pPr>
              <w:spacing w:after="20" w:before="20"/>
            </w:pPr>
            <w:r>
              <w:rPr>
                <w:rFonts w:ascii="Aptos" w:hAnsi="Aptos"/>
                <w:sz w:val="16"/>
              </w:rPr>
            </w:r>
            <w:r>
              <w:rPr>
                <w:rFonts w:ascii="Aptos" w:hAnsi="Aptos"/>
                <w:b w:val="0"/>
                <w:sz w:val="16"/>
              </w:rPr>
              <w:t>1 acre</w:t>
            </w:r>
          </w:p>
        </w:tc>
        <w:tc>
          <w:tcPr>
            <w:tcW w:type="dxa" w:w="3240"/>
            <w:vAlign w:val="center"/>
            <w:tcMar>
              <w:top w:w="90" w:type="dxa"/>
              <w:start w:w="100" w:type="dxa"/>
              <w:bottom w:w="90" w:type="dxa"/>
              <w:end w:w="100" w:type="dxa"/>
            </w:tcMar>
          </w:tcPr>
          <w:p>
            <w:pPr>
              <w:spacing w:after="20" w:before="20"/>
            </w:pPr>
            <w:r>
              <w:rPr>
                <w:rFonts w:ascii="Aptos" w:hAnsi="Aptos"/>
                <w:sz w:val="16"/>
              </w:rPr>
            </w:r>
            <w:r>
              <w:rPr>
                <w:rFonts w:ascii="Aptos" w:hAnsi="Aptos"/>
                <w:b w:val="0"/>
                <w:sz w:val="16"/>
              </w:rPr>
              <w:t>0.404686 ha</w:t>
            </w:r>
          </w:p>
        </w:tc>
        <w:tc>
          <w:tcPr>
            <w:tcW w:type="dxa" w:w="4536"/>
            <w:vAlign w:val="center"/>
            <w:tcMar>
              <w:top w:w="90" w:type="dxa"/>
              <w:start w:w="100" w:type="dxa"/>
              <w:bottom w:w="90" w:type="dxa"/>
              <w:end w:w="100" w:type="dxa"/>
            </w:tcMar>
          </w:tcPr>
          <w:p>
            <w:pPr>
              <w:spacing w:after="20" w:before="20"/>
            </w:pPr>
            <w:r>
              <w:rPr>
                <w:rFonts w:ascii="Aptos" w:hAnsi="Aptos"/>
                <w:sz w:val="16"/>
              </w:rPr>
            </w:r>
            <w:r>
              <w:rPr>
                <w:rFonts w:ascii="Aptos" w:hAnsi="Aptos"/>
                <w:b w:val="0"/>
                <w:sz w:val="16"/>
              </w:rPr>
              <w:t>Area_ha = Area_acre × 0.404686. Retain source unit and source value.</w:t>
            </w:r>
          </w:p>
        </w:tc>
      </w:tr>
      <w:tr>
        <w:trPr>
          <w:cantSplit/>
        </w:trPr>
        <w:tc>
          <w:tcPr>
            <w:tcW w:type="dxa" w:w="2448"/>
            <w:vAlign w:val="center"/>
            <w:tcMar>
              <w:top w:w="90" w:type="dxa"/>
              <w:start w:w="100" w:type="dxa"/>
              <w:bottom w:w="90" w:type="dxa"/>
              <w:end w:w="100" w:type="dxa"/>
            </w:tcMar>
            <w:shd w:fill="F4F7F6"/>
          </w:tcPr>
          <w:p>
            <w:pPr>
              <w:spacing w:after="20" w:before="20"/>
            </w:pPr>
            <w:r>
              <w:rPr>
                <w:rFonts w:ascii="Aptos" w:hAnsi="Aptos"/>
                <w:sz w:val="16"/>
              </w:rPr>
            </w:r>
            <w:r>
              <w:rPr>
                <w:rFonts w:ascii="Aptos" w:hAnsi="Aptos"/>
                <w:b w:val="0"/>
                <w:sz w:val="16"/>
              </w:rPr>
              <w:t>1,200 kg</w:t>
            </w:r>
          </w:p>
        </w:tc>
        <w:tc>
          <w:tcPr>
            <w:tcW w:type="dxa" w:w="3240"/>
            <w:vAlign w:val="center"/>
            <w:tcMar>
              <w:top w:w="90" w:type="dxa"/>
              <w:start w:w="100" w:type="dxa"/>
              <w:bottom w:w="90" w:type="dxa"/>
              <w:end w:w="100" w:type="dxa"/>
            </w:tcMar>
            <w:shd w:fill="F4F7F6"/>
          </w:tcPr>
          <w:p>
            <w:pPr>
              <w:spacing w:after="20" w:before="20"/>
            </w:pPr>
            <w:r>
              <w:rPr>
                <w:rFonts w:ascii="Aptos" w:hAnsi="Aptos"/>
                <w:sz w:val="16"/>
              </w:rPr>
            </w:r>
            <w:r>
              <w:rPr>
                <w:rFonts w:ascii="Aptos" w:hAnsi="Aptos"/>
                <w:b w:val="0"/>
                <w:sz w:val="16"/>
              </w:rPr>
              <w:t>1.2 tonnes</w:t>
            </w:r>
          </w:p>
        </w:tc>
        <w:tc>
          <w:tcPr>
            <w:tcW w:type="dxa" w:w="4536"/>
            <w:vAlign w:val="center"/>
            <w:tcMar>
              <w:top w:w="90" w:type="dxa"/>
              <w:start w:w="100" w:type="dxa"/>
              <w:bottom w:w="90" w:type="dxa"/>
              <w:end w:w="100" w:type="dxa"/>
            </w:tcMar>
            <w:shd w:fill="F4F7F6"/>
          </w:tcPr>
          <w:p>
            <w:pPr>
              <w:spacing w:after="20" w:before="20"/>
            </w:pPr>
            <w:r>
              <w:rPr>
                <w:rFonts w:ascii="Aptos" w:hAnsi="Aptos"/>
                <w:sz w:val="16"/>
              </w:rPr>
            </w:r>
            <w:r>
              <w:rPr>
                <w:rFonts w:ascii="Aptos" w:hAnsi="Aptos"/>
                <w:b w:val="0"/>
                <w:sz w:val="16"/>
              </w:rPr>
              <w:t>Production_t = Production_kg ÷ 1,000.</w:t>
            </w:r>
          </w:p>
        </w:tc>
      </w:tr>
      <w:tr>
        <w:trPr>
          <w:cantSplit/>
        </w:trPr>
        <w:tc>
          <w:tcPr>
            <w:tcW w:type="dxa" w:w="2448"/>
            <w:vAlign w:val="center"/>
            <w:tcMar>
              <w:top w:w="90" w:type="dxa"/>
              <w:start w:w="100" w:type="dxa"/>
              <w:bottom w:w="90" w:type="dxa"/>
              <w:end w:w="100" w:type="dxa"/>
            </w:tcMar>
          </w:tcPr>
          <w:p>
            <w:pPr>
              <w:spacing w:after="20" w:before="20"/>
            </w:pPr>
            <w:r>
              <w:rPr>
                <w:rFonts w:ascii="Aptos" w:hAnsi="Aptos"/>
                <w:sz w:val="16"/>
              </w:rPr>
            </w:r>
            <w:r>
              <w:rPr>
                <w:rFonts w:ascii="Aptos" w:hAnsi="Aptos"/>
                <w:b w:val="0"/>
                <w:sz w:val="16"/>
              </w:rPr>
              <w:t>₹22 per kg</w:t>
            </w:r>
          </w:p>
        </w:tc>
        <w:tc>
          <w:tcPr>
            <w:tcW w:type="dxa" w:w="3240"/>
            <w:vAlign w:val="center"/>
            <w:tcMar>
              <w:top w:w="90" w:type="dxa"/>
              <w:start w:w="100" w:type="dxa"/>
              <w:bottom w:w="90" w:type="dxa"/>
              <w:end w:w="100" w:type="dxa"/>
            </w:tcMar>
          </w:tcPr>
          <w:p>
            <w:pPr>
              <w:spacing w:after="20" w:before="20"/>
            </w:pPr>
            <w:r>
              <w:rPr>
                <w:rFonts w:ascii="Aptos" w:hAnsi="Aptos"/>
                <w:sz w:val="16"/>
              </w:rPr>
            </w:r>
            <w:r>
              <w:rPr>
                <w:rFonts w:ascii="Aptos" w:hAnsi="Aptos"/>
                <w:b w:val="0"/>
                <w:sz w:val="16"/>
              </w:rPr>
              <w:t>₹2,200 per quintal</w:t>
            </w:r>
          </w:p>
        </w:tc>
        <w:tc>
          <w:tcPr>
            <w:tcW w:type="dxa" w:w="4536"/>
            <w:vAlign w:val="center"/>
            <w:tcMar>
              <w:top w:w="90" w:type="dxa"/>
              <w:start w:w="100" w:type="dxa"/>
              <w:bottom w:w="90" w:type="dxa"/>
              <w:end w:w="100" w:type="dxa"/>
            </w:tcMar>
          </w:tcPr>
          <w:p>
            <w:pPr>
              <w:spacing w:after="20" w:before="20"/>
            </w:pPr>
            <w:r>
              <w:rPr>
                <w:rFonts w:ascii="Aptos" w:hAnsi="Aptos"/>
                <w:sz w:val="16"/>
              </w:rPr>
            </w:r>
            <w:r>
              <w:rPr>
                <w:rFonts w:ascii="Aptos" w:hAnsi="Aptos"/>
                <w:b w:val="0"/>
                <w:sz w:val="16"/>
              </w:rPr>
              <w:t>Price_INR_quintal = Price_INR_kg × 100; verify price definition first.</w:t>
            </w:r>
          </w:p>
        </w:tc>
      </w:tr>
      <w:tr>
        <w:trPr>
          <w:cantSplit/>
        </w:trPr>
        <w:tc>
          <w:tcPr>
            <w:tcW w:type="dxa" w:w="2448"/>
            <w:vAlign w:val="center"/>
            <w:tcMar>
              <w:top w:w="90" w:type="dxa"/>
              <w:start w:w="100" w:type="dxa"/>
              <w:bottom w:w="90" w:type="dxa"/>
              <w:end w:w="100" w:type="dxa"/>
            </w:tcMar>
            <w:shd w:fill="F4F7F6"/>
          </w:tcPr>
          <w:p>
            <w:pPr>
              <w:spacing w:after="20" w:before="20"/>
            </w:pPr>
            <w:r>
              <w:rPr>
                <w:rFonts w:ascii="Aptos" w:hAnsi="Aptos"/>
                <w:sz w:val="16"/>
              </w:rPr>
            </w:r>
            <w:r>
              <w:rPr>
                <w:rFonts w:ascii="Aptos" w:hAnsi="Aptos"/>
                <w:b w:val="0"/>
                <w:sz w:val="16"/>
              </w:rPr>
              <w:t>12/06/2025</w:t>
            </w:r>
          </w:p>
        </w:tc>
        <w:tc>
          <w:tcPr>
            <w:tcW w:type="dxa" w:w="3240"/>
            <w:vAlign w:val="center"/>
            <w:tcMar>
              <w:top w:w="90" w:type="dxa"/>
              <w:start w:w="100" w:type="dxa"/>
              <w:bottom w:w="90" w:type="dxa"/>
              <w:end w:w="100" w:type="dxa"/>
            </w:tcMar>
            <w:shd w:fill="F4F7F6"/>
          </w:tcPr>
          <w:p>
            <w:pPr>
              <w:spacing w:after="20" w:before="20"/>
            </w:pPr>
            <w:r>
              <w:rPr>
                <w:rFonts w:ascii="Aptos" w:hAnsi="Aptos"/>
                <w:sz w:val="16"/>
              </w:rPr>
            </w:r>
            <w:r>
              <w:rPr>
                <w:rFonts w:ascii="Aptos" w:hAnsi="Aptos"/>
                <w:b w:val="0"/>
                <w:sz w:val="16"/>
              </w:rPr>
              <w:t>2025-06-12 if source defines D/M/Y</w:t>
            </w:r>
          </w:p>
        </w:tc>
        <w:tc>
          <w:tcPr>
            <w:tcW w:type="dxa" w:w="4536"/>
            <w:vAlign w:val="center"/>
            <w:tcMar>
              <w:top w:w="90" w:type="dxa"/>
              <w:start w:w="100" w:type="dxa"/>
              <w:bottom w:w="90" w:type="dxa"/>
              <w:end w:w="100" w:type="dxa"/>
            </w:tcMar>
            <w:shd w:fill="F4F7F6"/>
          </w:tcPr>
          <w:p>
            <w:pPr>
              <w:spacing w:after="20" w:before="20"/>
            </w:pPr>
            <w:r>
              <w:rPr>
                <w:rFonts w:ascii="Aptos" w:hAnsi="Aptos"/>
                <w:sz w:val="16"/>
              </w:rPr>
            </w:r>
            <w:r>
              <w:rPr>
                <w:rFonts w:ascii="Aptos" w:hAnsi="Aptos"/>
                <w:b w:val="0"/>
                <w:sz w:val="16"/>
              </w:rPr>
              <w:t>Use explicit source date format; ambiguous dates must be resolved, not guessed.</w:t>
            </w:r>
          </w:p>
        </w:tc>
      </w:tr>
    </w:tbl>
    <w:p>
      <w:pPr>
        <w:spacing w:after="20"/>
      </w:pPr>
    </w:p>
    <w:p>
      <w:pPr>
        <w:pStyle w:val="Heading2"/>
      </w:pPr>
      <w:r>
        <w:t>4.3 Duplicates</w:t>
      </w:r>
    </w:p>
    <w:p>
      <w:r>
        <w:t>Exact duplicate rows can often be removed from an analytical copy after confirmation. Business duplicates require more care: two rows may share farm/date/crop but refer to separate plots or harvests. The key must match the real record grain. Keep dropped row IDs and the reason, and retain the raw source. If duplicate values conflict, reconcile against the origin rather than choosing whichever is convenient.</w:t>
      </w:r>
    </w:p>
    <w:p>
      <w:pPr>
        <w:pStyle w:val="Heading2"/>
      </w:pPr>
      <w:r>
        <w:t>4.4 Outliers and anomalies</w:t>
      </w:r>
    </w:p>
    <w:p>
      <w:pPr>
        <w:pStyle w:val="ListBullet"/>
        <w:spacing w:after="60"/>
      </w:pPr>
      <w:r>
        <w:t>Start with histograms, boxplots, time-series plots, percentiles, and crop-region-season comparisons.</w:t>
      </w:r>
    </w:p>
    <w:p>
      <w:pPr>
        <w:pStyle w:val="ListBullet"/>
        <w:spacing w:after="60"/>
      </w:pPr>
      <w:r>
        <w:t>Use IQR fences (Q1 − 1.5 × IQR, Q3 + 1.5 × IQR) or robust z-scores as screening tools, not automatic proof of an error.</w:t>
      </w:r>
    </w:p>
    <w:p>
      <w:pPr>
        <w:pStyle w:val="ListBullet"/>
        <w:spacing w:after="60"/>
      </w:pPr>
      <w:r>
        <w:t>Validate units, decimal placement, sensor calibration, geography, weather events, crop variety, season, and source documents.</w:t>
      </w:r>
    </w:p>
    <w:p>
      <w:pPr>
        <w:pStyle w:val="ListBullet"/>
        <w:spacing w:after="60"/>
      </w:pPr>
      <w:r>
        <w:t>If verified valid, retain the value and consider robust statistics or suitable transformations. If a source error is proven, correct with provenance; if unresolved, flag and run sensitivity analysis.</w:t>
      </w:r>
    </w:p>
    <w:p>
      <w:pPr>
        <w:pStyle w:val="ListBullet"/>
        <w:spacing w:after="60"/>
      </w:pPr>
      <w:r>
        <w:t>Winsorization or exclusion must be justified, parameterized, and reported. Do not remove observations solely because they worsen a model.</w:t>
      </w:r>
    </w:p>
    <w:p>
      <w:pPr>
        <w:pStyle w:val="Heading1"/>
      </w:pPr>
      <w:r>
        <w:t>5. Proposed Preprocessing Framework</w:t>
      </w:r>
    </w:p>
    <w:p>
      <w:r>
        <w:t>The workflow below provides the recommended sequence. The source data remains immutable; processed datasets and analysis-ready subsets are new versioned outputs. Each stage should record its row count, columns changed, flags raised, and reason for each transformation.</w:t>
      </w:r>
    </w:p>
    <w:p>
      <w:pPr>
        <w:jc w:val="center"/>
      </w:pPr>
      <w:r>
        <w:drawing>
          <wp:inline xmlns:a="http://schemas.openxmlformats.org/drawingml/2006/main" xmlns:pic="http://schemas.openxmlformats.org/drawingml/2006/picture">
            <wp:extent cx="6263640" cy="1898945"/>
            <wp:docPr id="2" name="Picture 2"/>
            <wp:cNvGraphicFramePr>
              <a:graphicFrameLocks noChangeAspect="1"/>
            </wp:cNvGraphicFramePr>
            <a:graphic>
              <a:graphicData uri="http://schemas.openxmlformats.org/drawingml/2006/picture">
                <pic:pic>
                  <pic:nvPicPr>
                    <pic:cNvPr id="0" name="preprocessing_workflow.png"/>
                    <pic:cNvPicPr/>
                  </pic:nvPicPr>
                  <pic:blipFill>
                    <a:blip r:embed="rId11"/>
                    <a:stretch>
                      <a:fillRect/>
                    </a:stretch>
                  </pic:blipFill>
                  <pic:spPr>
                    <a:xfrm>
                      <a:off x="0" y="0"/>
                      <a:ext cx="6263640" cy="1898945"/>
                    </a:xfrm>
                    <a:prstGeom prst="rect"/>
                  </pic:spPr>
                </pic:pic>
              </a:graphicData>
            </a:graphic>
          </wp:inline>
        </w:drawing>
      </w:r>
    </w:p>
    <w:p>
      <w:pPr>
        <w:pStyle w:val="Heading2"/>
        <w:pageBreakBefore/>
      </w:pPr>
      <w:r>
        <w:t>5.1 Feature engineering and calculations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Feature</w:t>
            </w:r>
          </w:p>
        </w:tc>
        <w:tc>
          <w:tcPr>
            <w:tcW w:type="dxa" w:w="4464"/>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Formula / method</w:t>
            </w:r>
          </w:p>
        </w:tc>
        <w:tc>
          <w:tcPr>
            <w:tcW w:type="dxa" w:w="3528"/>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Guard condition</w:t>
            </w:r>
          </w:p>
        </w:tc>
      </w:tr>
      <w:tr>
        <w:trPr>
          <w:cantSplit/>
        </w:trPr>
        <w:tc>
          <w:tcPr>
            <w:tcW w:type="dxa" w:w="223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Area_ha</w:t>
            </w:r>
          </w:p>
        </w:tc>
        <w:tc>
          <w:tcPr>
            <w:tcW w:type="dxa" w:w="446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Area_acre × 0.404686; hectares unchanged</w:t>
            </w:r>
          </w:p>
        </w:tc>
        <w:tc>
          <w:tcPr>
            <w:tcW w:type="dxa" w:w="352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Known source unit; area not missing</w:t>
            </w:r>
          </w:p>
        </w:tc>
      </w:tr>
      <w:tr>
        <w:trPr>
          <w:cantSplit/>
        </w:trPr>
        <w:tc>
          <w:tcPr>
            <w:tcW w:type="dxa" w:w="223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Production_t</w:t>
            </w:r>
          </w:p>
        </w:tc>
        <w:tc>
          <w:tcPr>
            <w:tcW w:type="dxa" w:w="446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Production_kg ÷ 1,000; tonnes unchanged</w:t>
            </w:r>
          </w:p>
        </w:tc>
        <w:tc>
          <w:tcPr>
            <w:tcW w:type="dxa" w:w="352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Known source unit; production non-negative</w:t>
            </w:r>
          </w:p>
        </w:tc>
      </w:tr>
      <w:tr>
        <w:trPr>
          <w:cantSplit/>
        </w:trPr>
        <w:tc>
          <w:tcPr>
            <w:tcW w:type="dxa" w:w="223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Calculated_Yield_t_ha</w:t>
            </w:r>
          </w:p>
        </w:tc>
        <w:tc>
          <w:tcPr>
            <w:tcW w:type="dxa" w:w="446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Production_t ÷ Area_ha</w:t>
            </w:r>
          </w:p>
        </w:tc>
        <w:tc>
          <w:tcPr>
            <w:tcW w:type="dxa" w:w="352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Area_ha &gt; 0 and both inputs valid</w:t>
            </w:r>
          </w:p>
        </w:tc>
      </w:tr>
      <w:tr>
        <w:trPr>
          <w:cantSplit/>
        </w:trPr>
        <w:tc>
          <w:tcPr>
            <w:tcW w:type="dxa" w:w="223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Price_INR_quintal</w:t>
            </w:r>
          </w:p>
        </w:tc>
        <w:tc>
          <w:tcPr>
            <w:tcW w:type="dxa" w:w="446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Price_INR_kg × 100</w:t>
            </w:r>
          </w:p>
        </w:tc>
        <w:tc>
          <w:tcPr>
            <w:tcW w:type="dxa" w:w="352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Known price unit and same price definition/grade</w:t>
            </w:r>
          </w:p>
        </w:tc>
      </w:tr>
      <w:tr>
        <w:trPr>
          <w:cantSplit/>
        </w:trPr>
        <w:tc>
          <w:tcPr>
            <w:tcW w:type="dxa" w:w="223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Season/year features</w:t>
            </w:r>
          </w:p>
        </w:tc>
        <w:tc>
          <w:tcPr>
            <w:tcW w:type="dxa" w:w="446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Extract from validated observation date and declared season calendar</w:t>
            </w:r>
          </w:p>
        </w:tc>
        <w:tc>
          <w:tcPr>
            <w:tcW w:type="dxa" w:w="352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Date parsed and time-zone/calendar assumptions clear</w:t>
            </w:r>
          </w:p>
        </w:tc>
      </w:tr>
      <w:tr>
        <w:trPr>
          <w:cantSplit/>
        </w:trPr>
        <w:tc>
          <w:tcPr>
            <w:tcW w:type="dxa" w:w="223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Imputation indicator</w:t>
            </w:r>
          </w:p>
        </w:tc>
        <w:tc>
          <w:tcPr>
            <w:tcW w:type="dxa" w:w="446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1 if field was imputed; 0 otherwise</w:t>
            </w:r>
          </w:p>
        </w:tc>
        <w:tc>
          <w:tcPr>
            <w:tcW w:type="dxa" w:w="352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Create before imputation so provenance remains visible</w:t>
            </w:r>
          </w:p>
        </w:tc>
      </w:tr>
    </w:tbl>
    <w:p>
      <w:pPr>
        <w:spacing w:after="20"/>
      </w:pPr>
    </w:p>
    <w:p>
      <w:pPr>
        <w:pStyle w:val="Heading2"/>
      </w:pPr>
      <w:r>
        <w:t>5.2 Encoding and scaling</w:t>
      </w:r>
    </w:p>
    <w:p>
      <w:pPr>
        <w:pStyle w:val="ListBullet"/>
        <w:spacing w:after="60"/>
      </w:pPr>
      <w:r>
        <w:t>One-hot encoding can represent crop, district, season, or soil category for many statistical and machine-learning models. Avoid arbitrary numeric codes for nominal categories unless the model explicitly treats them as categories.</w:t>
      </w:r>
    </w:p>
    <w:p>
      <w:pPr>
        <w:pStyle w:val="ListBullet"/>
        <w:spacing w:after="60"/>
      </w:pPr>
      <w:r>
        <w:t>Standardization uses z = (x − training mean) / training standard deviation; min-max scaling maps values to a chosen interval, often [0,1]. Learn parameters on training data only and apply them to validation/test data.</w:t>
      </w:r>
    </w:p>
    <w:p>
      <w:pPr>
        <w:pStyle w:val="ListBullet"/>
        <w:spacing w:after="60"/>
      </w:pPr>
      <w:r>
        <w:t>Scaling is important for distance-based and many gradient/regularized models, but tree-based models generally do not require numeric scaling. Choose preprocessing based on the intended model, not as an automatic step for every dataset.</w:t>
      </w:r>
    </w:p>
    <w:p>
      <w:pPr>
        <w:pStyle w:val="ListBullet"/>
        <w:spacing w:after="60"/>
      </w:pPr>
      <w:r>
        <w:t>For forecasting, split by time rather than randomly mixing dates. Do not use future weather, future price, or outcome-derived features unavailable at prediction time.</w:t>
      </w:r>
    </w:p>
    <w:p>
      <w:pPr>
        <w:pStyle w:val="Heading2"/>
      </w:pPr>
      <w:r>
        <w:t>5.3 Filtering and analytical subsets</w:t>
      </w:r>
    </w:p>
    <w:p>
      <w:r>
        <w:t>Maintain a full cleaned-reference table with quality flags and create purpose-specific subsets. For example, yield analysis may require a valid crop, valid date, positive area, valid production, and a resolved or acceptable yield check. Market-price analysis may require a declared commodity grade, market, date, and unit. Every filter should produce a row count and exclusion-reason summary.</w:t>
      </w:r>
    </w:p>
    <w:p>
      <w:pPr>
        <w:pStyle w:val="Heading1"/>
        <w:pageBreakBefore/>
      </w:pPr>
      <w:r>
        <w:t>6. Worked Hypothetical Examples</w:t>
      </w:r>
    </w:p>
    <w:tbl>
      <w:tblPr>
        <w:tblW w:type="auto" w:w="0"/>
        <w:jc w:val="center"/>
        <w:tblLook w:firstColumn="1" w:firstRow="1" w:lastColumn="0" w:lastRow="0" w:noHBand="0" w:noVBand="1" w:val="04A0"/>
      </w:tblPr>
      <w:tblGrid>
        <w:gridCol w:w="9994"/>
      </w:tblGrid>
      <w:tr>
        <w:tc>
          <w:tcPr>
            <w:tcW w:type="dxa" w:w="9994"/>
            <w:shd w:fill="FFF4E5"/>
            <w:tcMar>
              <w:top w:w="150" w:type="dxa"/>
              <w:start w:w="180" w:type="dxa"/>
              <w:bottom w:w="150" w:type="dxa"/>
              <w:end w:w="180" w:type="dxa"/>
            </w:tcMar>
          </w:tcPr>
          <w:p>
            <w:pPr>
              <w:spacing w:after="80"/>
            </w:pPr>
            <w:r/>
            <w:r>
              <w:rPr>
                <w:b/>
                <w:color w:val="133B33"/>
                <w:sz w:val="20"/>
              </w:rPr>
              <w:t>Synthetic data warning</w:t>
            </w:r>
          </w:p>
          <w:p>
            <w:pPr>
              <w:spacing w:after="0"/>
            </w:pPr>
            <w:r>
              <w:rPr>
                <w:color w:val="344054"/>
                <w:sz w:val="18"/>
              </w:rPr>
              <w:t>All values in this section and in hypothetical_agri_raw.csv were invented for demonstration. They are not observations of real farms and must not be presented as official agricultural statistics.</w:t>
            </w:r>
          </w:p>
        </w:tc>
      </w:tr>
    </w:tbl>
    <w:p>
      <w:pPr>
        <w:spacing w:after="20"/>
      </w:pP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520"/>
            <w:vAlign w:val="center"/>
            <w:tcMar>
              <w:top w:w="90" w:type="dxa"/>
              <w:start w:w="100" w:type="dxa"/>
              <w:bottom w:w="90" w:type="dxa"/>
              <w:end w:w="100" w:type="dxa"/>
            </w:tcMar>
            <w:shd w:fill="133B33"/>
          </w:tcPr>
          <w:p>
            <w:pPr>
              <w:spacing w:after="20" w:before="20"/>
            </w:pPr>
            <w:r>
              <w:rPr>
                <w:rFonts w:ascii="Aptos" w:hAnsi="Aptos"/>
                <w:b/>
                <w:color w:val="FFFFFF"/>
                <w:sz w:val="14"/>
              </w:rPr>
            </w:r>
            <w:r>
              <w:rPr>
                <w:rFonts w:ascii="Aptos" w:hAnsi="Aptos"/>
                <w:b/>
                <w:color w:val="FFFFFF"/>
                <w:sz w:val="14"/>
              </w:rPr>
              <w:t>Raw record</w:t>
            </w:r>
          </w:p>
        </w:tc>
        <w:tc>
          <w:tcPr>
            <w:tcW w:type="dxa" w:w="2376"/>
            <w:vAlign w:val="center"/>
            <w:tcMar>
              <w:top w:w="90" w:type="dxa"/>
              <w:start w:w="100" w:type="dxa"/>
              <w:bottom w:w="90" w:type="dxa"/>
              <w:end w:w="100" w:type="dxa"/>
            </w:tcMar>
            <w:shd w:fill="133B33"/>
          </w:tcPr>
          <w:p>
            <w:pPr>
              <w:spacing w:after="20" w:before="20"/>
            </w:pPr>
            <w:r>
              <w:rPr>
                <w:rFonts w:ascii="Aptos" w:hAnsi="Aptos"/>
                <w:b/>
                <w:color w:val="FFFFFF"/>
                <w:sz w:val="14"/>
              </w:rPr>
            </w:r>
            <w:r>
              <w:rPr>
                <w:rFonts w:ascii="Aptos" w:hAnsi="Aptos"/>
                <w:b/>
                <w:color w:val="FFFFFF"/>
                <w:sz w:val="14"/>
              </w:rPr>
              <w:t>Issue detected</w:t>
            </w:r>
          </w:p>
        </w:tc>
        <w:tc>
          <w:tcPr>
            <w:tcW w:type="dxa" w:w="5328"/>
            <w:vAlign w:val="center"/>
            <w:tcMar>
              <w:top w:w="90" w:type="dxa"/>
              <w:start w:w="100" w:type="dxa"/>
              <w:bottom w:w="90" w:type="dxa"/>
              <w:end w:w="100" w:type="dxa"/>
            </w:tcMar>
            <w:shd w:fill="133B33"/>
          </w:tcPr>
          <w:p>
            <w:pPr>
              <w:spacing w:after="20" w:before="20"/>
            </w:pPr>
            <w:r>
              <w:rPr>
                <w:rFonts w:ascii="Aptos" w:hAnsi="Aptos"/>
                <w:b/>
                <w:color w:val="FFFFFF"/>
                <w:sz w:val="14"/>
              </w:rPr>
            </w:r>
            <w:r>
              <w:rPr>
                <w:rFonts w:ascii="Aptos" w:hAnsi="Aptos"/>
                <w:b/>
                <w:color w:val="FFFFFF"/>
                <w:sz w:val="14"/>
              </w:rPr>
              <w:t>Proposed treatment</w:t>
            </w:r>
          </w:p>
        </w:tc>
      </w:tr>
      <w:tr>
        <w:trPr>
          <w:cantSplit/>
        </w:trPr>
        <w:tc>
          <w:tcPr>
            <w:tcW w:type="dxa" w:w="2520"/>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R002: 1 acre; 1,200 kg maize</w:t>
            </w:r>
          </w:p>
        </w:tc>
        <w:tc>
          <w:tcPr>
            <w:tcW w:type="dxa" w:w="2376"/>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Area/production units differ from standard</w:t>
            </w:r>
          </w:p>
        </w:tc>
        <w:tc>
          <w:tcPr>
            <w:tcW w:type="dxa" w:w="5328"/>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1 acre → 0.404686 ha; 1,200 kg → 1.2 t; calculated yield ≈ 2.97 t/ha if the values are verified.</w:t>
            </w:r>
          </w:p>
        </w:tc>
      </w:tr>
      <w:tr>
        <w:trPr>
          <w:cantSplit/>
        </w:trPr>
        <w:tc>
          <w:tcPr>
            <w:tcW w:type="dxa" w:w="2520"/>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R001 and R004: same farm/date/crop/season</w:t>
            </w:r>
          </w:p>
        </w:tc>
        <w:tc>
          <w:tcPr>
            <w:tcW w:type="dxa" w:w="2376"/>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Potential duplicate business event</w:t>
            </w:r>
          </w:p>
        </w:tc>
        <w:tc>
          <w:tcPr>
            <w:tcW w:type="dxa" w:w="5328"/>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Flag using candidate business key; keep one in analytical copy only after confirming it is a duplicate; log removed ID.</w:t>
            </w:r>
          </w:p>
        </w:tc>
      </w:tr>
      <w:tr>
        <w:trPr>
          <w:cantSplit/>
        </w:trPr>
        <w:tc>
          <w:tcPr>
            <w:tcW w:type="dxa" w:w="2520"/>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R007: rainfall missing</w:t>
            </w:r>
          </w:p>
        </w:tc>
        <w:tc>
          <w:tcPr>
            <w:tcW w:type="dxa" w:w="2376"/>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Missing predictor</w:t>
            </w:r>
          </w:p>
        </w:tc>
        <w:tc>
          <w:tcPr>
            <w:tcW w:type="dxa" w:w="5328"/>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Use validated station data if available; in the demo script, use a crop-season median when available and mark it imputed.</w:t>
            </w:r>
          </w:p>
        </w:tc>
      </w:tr>
      <w:tr>
        <w:trPr>
          <w:cantSplit/>
        </w:trPr>
        <w:tc>
          <w:tcPr>
            <w:tcW w:type="dxa" w:w="2520"/>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R005: 2 ha; 100 t production; 50 t/ha</w:t>
            </w:r>
          </w:p>
        </w:tc>
        <w:tc>
          <w:tcPr>
            <w:tcW w:type="dxa" w:w="2376"/>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Extremely unusual grain yield in demo</w:t>
            </w:r>
          </w:p>
        </w:tc>
        <w:tc>
          <w:tcPr>
            <w:tcW w:type="dxa" w:w="5328"/>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Flag for review. Check decimal/unit/source. Do not auto-delete; crop-specific plausibility limits must be established from trusted references.</w:t>
            </w:r>
          </w:p>
        </w:tc>
      </w:tr>
      <w:tr>
        <w:trPr>
          <w:cantSplit/>
        </w:trPr>
        <w:tc>
          <w:tcPr>
            <w:tcW w:type="dxa" w:w="2520"/>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R008: 0 ha; 3 t production</w:t>
            </w:r>
          </w:p>
        </w:tc>
        <w:tc>
          <w:tcPr>
            <w:tcW w:type="dxa" w:w="2376"/>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Logical contradiction</w:t>
            </w:r>
          </w:p>
        </w:tc>
        <w:tc>
          <w:tcPr>
            <w:tcW w:type="dxa" w:w="5328"/>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Do not calculate yield. Verify area and production at the source; exclude from yield modeling until resolved.</w:t>
            </w:r>
          </w:p>
        </w:tc>
      </w:tr>
      <w:tr>
        <w:trPr>
          <w:cantSplit/>
        </w:trPr>
        <w:tc>
          <w:tcPr>
            <w:tcW w:type="dxa" w:w="2520"/>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R009: date 31-14-2025</w:t>
            </w:r>
          </w:p>
        </w:tc>
        <w:tc>
          <w:tcPr>
            <w:tcW w:type="dxa" w:w="2376"/>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Unparseable date</w:t>
            </w:r>
          </w:p>
        </w:tc>
        <w:tc>
          <w:tcPr>
            <w:tcW w:type="dxa" w:w="5328"/>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Keep raw date, record parse failure and exclude from time-series analysis until corrected.</w:t>
            </w:r>
          </w:p>
        </w:tc>
      </w:tr>
      <w:tr>
        <w:trPr>
          <w:cantSplit/>
        </w:trPr>
        <w:tc>
          <w:tcPr>
            <w:tcW w:type="dxa" w:w="2520"/>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R010: rainfall −15; fertilizer "high"</w:t>
            </w:r>
          </w:p>
        </w:tc>
        <w:tc>
          <w:tcPr>
            <w:tcW w:type="dxa" w:w="2376"/>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Domain violation and non-numeric input</w:t>
            </w:r>
          </w:p>
        </w:tc>
        <w:tc>
          <w:tcPr>
            <w:tcW w:type="dxa" w:w="5328"/>
            <w:vAlign w:val="center"/>
            <w:tcMar>
              <w:top w:w="90" w:type="dxa"/>
              <w:start w:w="100" w:type="dxa"/>
              <w:bottom w:w="90" w:type="dxa"/>
              <w:end w:w="100" w:type="dxa"/>
            </w:tcMar>
          </w:tcPr>
          <w:p>
            <w:pPr>
              <w:spacing w:after="20" w:before="20"/>
            </w:pPr>
            <w:r>
              <w:rPr>
                <w:rFonts w:ascii="Aptos" w:hAnsi="Aptos"/>
                <w:sz w:val="14"/>
              </w:rPr>
            </w:r>
            <w:r>
              <w:rPr>
                <w:rFonts w:ascii="Aptos" w:hAnsi="Aptos"/>
                <w:b w:val="0"/>
                <w:sz w:val="14"/>
              </w:rPr>
              <w:t>Preserve raw record; mark rainfall missing in analytical field and request correction of fertilizer value.</w:t>
            </w:r>
          </w:p>
        </w:tc>
      </w:tr>
      <w:tr>
        <w:trPr>
          <w:cantSplit/>
        </w:trPr>
        <w:tc>
          <w:tcPr>
            <w:tcW w:type="dxa" w:w="2520"/>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R014: ₹24/kg</w:t>
            </w:r>
          </w:p>
        </w:tc>
        <w:tc>
          <w:tcPr>
            <w:tcW w:type="dxa" w:w="2376"/>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Price unit differs</w:t>
            </w:r>
          </w:p>
        </w:tc>
        <w:tc>
          <w:tcPr>
            <w:tcW w:type="dxa" w:w="5328"/>
            <w:vAlign w:val="center"/>
            <w:tcMar>
              <w:top w:w="90" w:type="dxa"/>
              <w:start w:w="100" w:type="dxa"/>
              <w:bottom w:w="90" w:type="dxa"/>
              <w:end w:w="100" w:type="dxa"/>
            </w:tcMar>
            <w:shd w:fill="F4F7F6"/>
          </w:tcPr>
          <w:p>
            <w:pPr>
              <w:spacing w:after="20" w:before="20"/>
            </w:pPr>
            <w:r>
              <w:rPr>
                <w:rFonts w:ascii="Aptos" w:hAnsi="Aptos"/>
                <w:sz w:val="14"/>
              </w:rPr>
            </w:r>
            <w:r>
              <w:rPr>
                <w:rFonts w:ascii="Aptos" w:hAnsi="Aptos"/>
                <w:b w:val="0"/>
                <w:sz w:val="14"/>
              </w:rPr>
              <w:t>Standardize to ₹2,400/quintal if the quoted price basis is otherwise comparable.</w:t>
            </w:r>
          </w:p>
        </w:tc>
      </w:tr>
    </w:tbl>
    <w:p>
      <w:pPr>
        <w:spacing w:after="20"/>
      </w:pPr>
    </w:p>
    <w:p>
      <w:pPr>
        <w:pStyle w:val="Heading2"/>
      </w:pPr>
      <w:r>
        <w:t>6.1 Mini calculation</w:t>
      </w:r>
    </w:p>
    <w:p>
      <w:r>
        <w:t>For R002 (after unit conversion), area = 1 × 0.404686 = 0.404686 ha. Production = 1,200 ÷ 1,000 = 1.2 tonnes. If both inputs are verified and area is positive, calculated yield = 1.2 ÷ 0.404686 ≈ 2.97 tonnes/ha. The reported yield is missing, so the calculated value should be labelled as derived—not copied into the reported source field.</w:t>
      </w:r>
    </w:p>
    <w:p>
      <w:pPr>
        <w:pStyle w:val="Heading1"/>
      </w:pPr>
      <w:r>
        <w:t>7. Reproducibility and Data Governance</w:t>
      </w:r>
    </w:p>
    <w:p>
      <w:pPr>
        <w:pStyle w:val="ListBullet"/>
        <w:spacing w:after="60"/>
      </w:pPr>
      <w:r>
        <w:t>Keep immutable raw data and write all transformations to new files; use versioned folders such as raw/, interim/, processed/, outputs/ and logs/.</w:t>
      </w:r>
    </w:p>
    <w:p>
      <w:pPr>
        <w:pStyle w:val="ListBullet"/>
        <w:spacing w:after="60"/>
      </w:pPr>
      <w:r>
        <w:t>Store the script/notebook, package versions, parameters, source URL, retrieval date, input filename, and expected output schema alongside the data.</w:t>
      </w:r>
    </w:p>
    <w:p>
      <w:pPr>
        <w:pStyle w:val="ListBullet"/>
        <w:spacing w:after="60"/>
      </w:pPr>
      <w:r>
        <w:t>Make mappings, thresholds, unit conversions, imputation methods, and duplicate keys explicit configuration rather than undocumented edits.</w:t>
      </w:r>
    </w:p>
    <w:p>
      <w:pPr>
        <w:pStyle w:val="ListBullet"/>
        <w:spacing w:after="60"/>
      </w:pPr>
      <w:r>
        <w:t>Write a quality issue log with Record_ID, field, issue, action, and status; retain row-level flags in the cleaned data.</w:t>
      </w:r>
    </w:p>
    <w:p>
      <w:pPr>
        <w:pStyle w:val="ListBullet"/>
        <w:spacing w:after="60"/>
      </w:pPr>
      <w:r>
        <w:t>Re-run from raw input in a clean environment and compare output row counts, missingness, unit conversions, and key summary values.</w:t>
      </w:r>
    </w:p>
    <w:p>
      <w:pPr>
        <w:pStyle w:val="ListBullet"/>
        <w:spacing w:after="60"/>
      </w:pPr>
      <w:r>
        <w:t>Use deterministic methods where possible. If a randomized method is used, set and document a random seed.</w:t>
      </w:r>
    </w:p>
    <w:p>
      <w:pPr>
        <w:pStyle w:val="ListBullet"/>
        <w:spacing w:after="60"/>
      </w:pPr>
      <w:r>
        <w:t>Do not include private farmer names, phone numbers, or precise farm coordinates in public examples unless permitted and necessary; minimize and protect personal data.</w:t>
      </w:r>
    </w:p>
    <w:p>
      <w:pPr>
        <w:pStyle w:val="Heading2"/>
      </w:pPr>
      <w:r>
        <w:t>7.1 Suggested quality acceptance checks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72"/>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Check</w:t>
            </w:r>
          </w:p>
        </w:tc>
        <w:tc>
          <w:tcPr>
            <w:tcW w:type="dxa" w:w="5328"/>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Acceptance rule for this strategy</w:t>
            </w:r>
          </w:p>
        </w:tc>
        <w:tc>
          <w:tcPr>
            <w:tcW w:type="dxa" w:w="3024"/>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Evidence to save</w:t>
            </w:r>
          </w:p>
        </w:tc>
      </w:tr>
      <w:tr>
        <w:trPr>
          <w:cantSplit/>
        </w:trPr>
        <w:tc>
          <w:tcPr>
            <w:tcW w:type="dxa" w:w="187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Schema</w:t>
            </w:r>
          </w:p>
        </w:tc>
        <w:tc>
          <w:tcPr>
            <w:tcW w:type="dxa" w:w="532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All expected columns present; standardized fields have documented types and units</w:t>
            </w:r>
          </w:p>
        </w:tc>
        <w:tc>
          <w:tcPr>
            <w:tcW w:type="dxa" w:w="302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Schema/data dictionary report</w:t>
            </w:r>
          </w:p>
        </w:tc>
      </w:tr>
      <w:tr>
        <w:trPr>
          <w:cantSplit/>
        </w:trPr>
        <w:tc>
          <w:tcPr>
            <w:tcW w:type="dxa" w:w="187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Dates</w:t>
            </w:r>
          </w:p>
        </w:tc>
        <w:tc>
          <w:tcPr>
            <w:tcW w:type="dxa" w:w="532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No unparseable date enters time-series/model subset without documented exception</w:t>
            </w:r>
          </w:p>
        </w:tc>
        <w:tc>
          <w:tcPr>
            <w:tcW w:type="dxa" w:w="302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Invalid-date issue list</w:t>
            </w:r>
          </w:p>
        </w:tc>
      </w:tr>
      <w:tr>
        <w:trPr>
          <w:cantSplit/>
        </w:trPr>
        <w:tc>
          <w:tcPr>
            <w:tcW w:type="dxa" w:w="187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Units</w:t>
            </w:r>
          </w:p>
        </w:tc>
        <w:tc>
          <w:tcPr>
            <w:tcW w:type="dxa" w:w="532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Every analytical numeric unit is canonical or explicitly flagged</w:t>
            </w:r>
          </w:p>
        </w:tc>
        <w:tc>
          <w:tcPr>
            <w:tcW w:type="dxa" w:w="302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Conversion log and unit counts</w:t>
            </w:r>
          </w:p>
        </w:tc>
      </w:tr>
      <w:tr>
        <w:trPr>
          <w:cantSplit/>
        </w:trPr>
        <w:tc>
          <w:tcPr>
            <w:tcW w:type="dxa" w:w="187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Duplicates</w:t>
            </w:r>
          </w:p>
        </w:tc>
        <w:tc>
          <w:tcPr>
            <w:tcW w:type="dxa" w:w="532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Duplicate business keys reviewed; final duplicate count explained</w:t>
            </w:r>
          </w:p>
        </w:tc>
        <w:tc>
          <w:tcPr>
            <w:tcW w:type="dxa" w:w="302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Duplicate-resolution log</w:t>
            </w:r>
          </w:p>
        </w:tc>
      </w:tr>
      <w:tr>
        <w:trPr>
          <w:cantSplit/>
        </w:trPr>
        <w:tc>
          <w:tcPr>
            <w:tcW w:type="dxa" w:w="187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Missingness</w:t>
            </w:r>
          </w:p>
        </w:tc>
        <w:tc>
          <w:tcPr>
            <w:tcW w:type="dxa" w:w="532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Missing count and percentage reported per key field before/after imputation</w:t>
            </w:r>
          </w:p>
        </w:tc>
        <w:tc>
          <w:tcPr>
            <w:tcW w:type="dxa" w:w="302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Missingness summary</w:t>
            </w:r>
          </w:p>
        </w:tc>
      </w:tr>
      <w:tr>
        <w:trPr>
          <w:cantSplit/>
        </w:trPr>
        <w:tc>
          <w:tcPr>
            <w:tcW w:type="dxa" w:w="187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Domain rules</w:t>
            </w:r>
          </w:p>
        </w:tc>
        <w:tc>
          <w:tcPr>
            <w:tcW w:type="dxa" w:w="532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Negative values, zero denominators and logical contradictions flagged</w:t>
            </w:r>
          </w:p>
        </w:tc>
        <w:tc>
          <w:tcPr>
            <w:tcW w:type="dxa" w:w="302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Validation report</w:t>
            </w:r>
          </w:p>
        </w:tc>
      </w:tr>
      <w:tr>
        <w:trPr>
          <w:cantSplit/>
        </w:trPr>
        <w:tc>
          <w:tcPr>
            <w:tcW w:type="dxa" w:w="1872"/>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Derived yield</w:t>
            </w:r>
          </w:p>
        </w:tc>
        <w:tc>
          <w:tcPr>
            <w:tcW w:type="dxa" w:w="532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Equals production_t / area_ha within tolerance for valid rows</w:t>
            </w:r>
          </w:p>
        </w:tc>
        <w:tc>
          <w:tcPr>
            <w:tcW w:type="dxa" w:w="3024"/>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Automated assertion results</w:t>
            </w:r>
          </w:p>
        </w:tc>
      </w:tr>
      <w:tr>
        <w:trPr>
          <w:cantSplit/>
        </w:trPr>
        <w:tc>
          <w:tcPr>
            <w:tcW w:type="dxa" w:w="1872"/>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Provenance</w:t>
            </w:r>
          </w:p>
        </w:tc>
        <w:tc>
          <w:tcPr>
            <w:tcW w:type="dxa" w:w="532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Each transformation traceable to script and configuration</w:t>
            </w:r>
          </w:p>
        </w:tc>
        <w:tc>
          <w:tcPr>
            <w:tcW w:type="dxa" w:w="3024"/>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Versioned code and run log</w:t>
            </w:r>
          </w:p>
        </w:tc>
      </w:tr>
    </w:tbl>
    <w:p>
      <w:pPr>
        <w:spacing w:after="20"/>
      </w:pPr>
    </w:p>
    <w:p>
      <w:pPr>
        <w:pStyle w:val="Heading1"/>
        <w:pageBreakBefore/>
      </w:pPr>
      <w:r>
        <w:t>8. Execution Timeline and Evaluation Rubric</w:t>
      </w:r>
    </w:p>
    <w:p>
      <w:r>
        <w:t>This seven-day plan is a proposed schedule for the Week 2 task. Actual dates may be assigned according to the course submission calendar.</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080"/>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Day</w:t>
            </w:r>
          </w:p>
        </w:tc>
        <w:tc>
          <w:tcPr>
            <w:tcW w:type="dxa" w:w="4536"/>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Task / milestone</w:t>
            </w:r>
          </w:p>
        </w:tc>
        <w:tc>
          <w:tcPr>
            <w:tcW w:type="dxa" w:w="4608"/>
            <w:vAlign w:val="center"/>
            <w:tcMar>
              <w:top w:w="90" w:type="dxa"/>
              <w:start w:w="100" w:type="dxa"/>
              <w:bottom w:w="90" w:type="dxa"/>
              <w:end w:w="100" w:type="dxa"/>
            </w:tcMar>
            <w:shd w:fill="133B33"/>
          </w:tcPr>
          <w:p>
            <w:pPr>
              <w:spacing w:after="20" w:before="20"/>
            </w:pPr>
            <w:r>
              <w:rPr>
                <w:rFonts w:ascii="Aptos" w:hAnsi="Aptos"/>
                <w:b/>
                <w:color w:val="FFFFFF"/>
                <w:sz w:val="15"/>
              </w:rPr>
            </w:r>
            <w:r>
              <w:rPr>
                <w:rFonts w:ascii="Aptos" w:hAnsi="Aptos"/>
                <w:b/>
                <w:color w:val="FFFFFF"/>
                <w:sz w:val="15"/>
              </w:rPr>
              <w:t>Completion evidence</w:t>
            </w:r>
          </w:p>
        </w:tc>
      </w:tr>
      <w:tr>
        <w:trPr>
          <w:cantSplit/>
        </w:trPr>
        <w:tc>
          <w:tcPr>
            <w:tcW w:type="dxa" w:w="108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Day 1</w:t>
            </w:r>
          </w:p>
        </w:tc>
        <w:tc>
          <w:tcPr>
            <w:tcW w:type="dxa" w:w="453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Confirm schema, observation grain, source and data dictionary</w:t>
            </w:r>
          </w:p>
        </w:tc>
        <w:tc>
          <w:tcPr>
            <w:tcW w:type="dxa" w:w="460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Approved field definitions and units</w:t>
            </w:r>
          </w:p>
        </w:tc>
      </w:tr>
      <w:tr>
        <w:trPr>
          <w:cantSplit/>
        </w:trPr>
        <w:tc>
          <w:tcPr>
            <w:tcW w:type="dxa" w:w="1080"/>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Day 2</w:t>
            </w:r>
          </w:p>
        </w:tc>
        <w:tc>
          <w:tcPr>
            <w:tcW w:type="dxa" w:w="453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Profile raw dataset and calculate quality baseline</w:t>
            </w:r>
          </w:p>
        </w:tc>
        <w:tc>
          <w:tcPr>
            <w:tcW w:type="dxa" w:w="460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Profiling report: missingness, ranges, duplicates</w:t>
            </w:r>
          </w:p>
        </w:tc>
      </w:tr>
      <w:tr>
        <w:trPr>
          <w:cantSplit/>
        </w:trPr>
        <w:tc>
          <w:tcPr>
            <w:tcW w:type="dxa" w:w="108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Day 3</w:t>
            </w:r>
          </w:p>
        </w:tc>
        <w:tc>
          <w:tcPr>
            <w:tcW w:type="dxa" w:w="453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Standardize formats, categories, dates and units</w:t>
            </w:r>
          </w:p>
        </w:tc>
        <w:tc>
          <w:tcPr>
            <w:tcW w:type="dxa" w:w="460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Scripted mappings and conversion tests</w:t>
            </w:r>
          </w:p>
        </w:tc>
      </w:tr>
      <w:tr>
        <w:trPr>
          <w:cantSplit/>
        </w:trPr>
        <w:tc>
          <w:tcPr>
            <w:tcW w:type="dxa" w:w="1080"/>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Day 4</w:t>
            </w:r>
          </w:p>
        </w:tc>
        <w:tc>
          <w:tcPr>
            <w:tcW w:type="dxa" w:w="453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Define missing-value and duplicate treatments</w:t>
            </w:r>
          </w:p>
        </w:tc>
        <w:tc>
          <w:tcPr>
            <w:tcW w:type="dxa" w:w="460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Decision log with variable-specific rules</w:t>
            </w:r>
          </w:p>
        </w:tc>
      </w:tr>
      <w:tr>
        <w:trPr>
          <w:cantSplit/>
        </w:trPr>
        <w:tc>
          <w:tcPr>
            <w:tcW w:type="dxa" w:w="108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Day 5</w:t>
            </w:r>
          </w:p>
        </w:tc>
        <w:tc>
          <w:tcPr>
            <w:tcW w:type="dxa" w:w="453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Run domain checks, cross-field logic and outlier review</w:t>
            </w:r>
          </w:p>
        </w:tc>
        <w:tc>
          <w:tcPr>
            <w:tcW w:type="dxa" w:w="460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Quality issue log and flagged-record review</w:t>
            </w:r>
          </w:p>
        </w:tc>
      </w:tr>
      <w:tr>
        <w:trPr>
          <w:cantSplit/>
        </w:trPr>
        <w:tc>
          <w:tcPr>
            <w:tcW w:type="dxa" w:w="1080"/>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Day 6</w:t>
            </w:r>
          </w:p>
        </w:tc>
        <w:tc>
          <w:tcPr>
            <w:tcW w:type="dxa" w:w="4536"/>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Build preprocessing pipeline and reproducible example</w:t>
            </w:r>
          </w:p>
        </w:tc>
        <w:tc>
          <w:tcPr>
            <w:tcW w:type="dxa" w:w="4608"/>
            <w:vAlign w:val="center"/>
            <w:tcMar>
              <w:top w:w="90" w:type="dxa"/>
              <w:start w:w="100" w:type="dxa"/>
              <w:bottom w:w="90" w:type="dxa"/>
              <w:end w:w="100" w:type="dxa"/>
            </w:tcMar>
            <w:shd w:fill="F4F7F6"/>
          </w:tcPr>
          <w:p>
            <w:pPr>
              <w:spacing w:after="20" w:before="20"/>
            </w:pPr>
            <w:r>
              <w:rPr>
                <w:rFonts w:ascii="Aptos" w:hAnsi="Aptos"/>
                <w:sz w:val="15"/>
              </w:rPr>
            </w:r>
            <w:r>
              <w:rPr>
                <w:rFonts w:ascii="Aptos" w:hAnsi="Aptos"/>
                <w:b w:val="0"/>
                <w:sz w:val="15"/>
              </w:rPr>
              <w:t>Script/notebook, cleaned sample CSV, validation checks</w:t>
            </w:r>
          </w:p>
        </w:tc>
      </w:tr>
      <w:tr>
        <w:trPr>
          <w:cantSplit/>
        </w:trPr>
        <w:tc>
          <w:tcPr>
            <w:tcW w:type="dxa" w:w="1080"/>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Day 7</w:t>
            </w:r>
          </w:p>
        </w:tc>
        <w:tc>
          <w:tcPr>
            <w:tcW w:type="dxa" w:w="4536"/>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Review, document limitations and package deliverables</w:t>
            </w:r>
          </w:p>
        </w:tc>
        <w:tc>
          <w:tcPr>
            <w:tcW w:type="dxa" w:w="4608"/>
            <w:vAlign w:val="center"/>
            <w:tcMar>
              <w:top w:w="90" w:type="dxa"/>
              <w:start w:w="100" w:type="dxa"/>
              <w:bottom w:w="90" w:type="dxa"/>
              <w:end w:w="100" w:type="dxa"/>
            </w:tcMar>
          </w:tcPr>
          <w:p>
            <w:pPr>
              <w:spacing w:after="20" w:before="20"/>
            </w:pPr>
            <w:r>
              <w:rPr>
                <w:rFonts w:ascii="Aptos" w:hAnsi="Aptos"/>
                <w:sz w:val="15"/>
              </w:rPr>
            </w:r>
            <w:r>
              <w:rPr>
                <w:rFonts w:ascii="Aptos" w:hAnsi="Aptos"/>
                <w:b w:val="0"/>
                <w:sz w:val="15"/>
              </w:rPr>
              <w:t>Final DOCX, data dictionary, workflow and reproducibility notes</w:t>
            </w:r>
          </w:p>
        </w:tc>
      </w:tr>
    </w:tbl>
    <w:p>
      <w:pPr>
        <w:spacing w:after="20"/>
      </w:pPr>
    </w:p>
    <w:p>
      <w:pPr>
        <w:pStyle w:val="Heading2"/>
      </w:pPr>
      <w:r>
        <w:t>8.1 Evaluation rubric (suggested, not official)</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448"/>
            <w:vAlign w:val="center"/>
            <w:tcMar>
              <w:top w:w="30" w:type="dxa"/>
              <w:start w:w="75" w:type="dxa"/>
              <w:bottom w:w="30" w:type="dxa"/>
              <w:end w:w="75" w:type="dxa"/>
            </w:tcMar>
            <w:shd w:fill="133B33"/>
          </w:tcPr>
          <w:p>
            <w:pPr>
              <w:spacing w:after="0" w:before="0" w:line="228" w:lineRule="auto"/>
            </w:pPr>
            <w:r>
              <w:rPr>
                <w:rFonts w:ascii="Aptos" w:hAnsi="Aptos"/>
                <w:b/>
                <w:color w:val="FFFFFF"/>
                <w:sz w:val="14"/>
              </w:rPr>
            </w:r>
            <w:r>
              <w:rPr>
                <w:rFonts w:ascii="Aptos" w:hAnsi="Aptos"/>
                <w:b/>
                <w:color w:val="FFFFFF"/>
                <w:sz w:val="14"/>
              </w:rPr>
              <w:t>Criterion</w:t>
            </w:r>
          </w:p>
        </w:tc>
        <w:tc>
          <w:tcPr>
            <w:tcW w:type="dxa" w:w="1008"/>
            <w:vAlign w:val="center"/>
            <w:tcMar>
              <w:top w:w="30" w:type="dxa"/>
              <w:start w:w="75" w:type="dxa"/>
              <w:bottom w:w="30" w:type="dxa"/>
              <w:end w:w="75" w:type="dxa"/>
            </w:tcMar>
            <w:shd w:fill="133B33"/>
          </w:tcPr>
          <w:p>
            <w:pPr>
              <w:spacing w:after="0" w:before="0" w:line="228" w:lineRule="auto"/>
            </w:pPr>
            <w:r>
              <w:rPr>
                <w:rFonts w:ascii="Aptos" w:hAnsi="Aptos"/>
                <w:b/>
                <w:color w:val="FFFFFF"/>
                <w:sz w:val="14"/>
              </w:rPr>
            </w:r>
            <w:r>
              <w:rPr>
                <w:rFonts w:ascii="Aptos" w:hAnsi="Aptos"/>
                <w:b/>
                <w:color w:val="FFFFFF"/>
                <w:sz w:val="14"/>
              </w:rPr>
              <w:t>Weight</w:t>
            </w:r>
          </w:p>
        </w:tc>
        <w:tc>
          <w:tcPr>
            <w:tcW w:type="dxa" w:w="6768"/>
            <w:vAlign w:val="center"/>
            <w:tcMar>
              <w:top w:w="30" w:type="dxa"/>
              <w:start w:w="75" w:type="dxa"/>
              <w:bottom w:w="30" w:type="dxa"/>
              <w:end w:w="75" w:type="dxa"/>
            </w:tcMar>
            <w:shd w:fill="133B33"/>
          </w:tcPr>
          <w:p>
            <w:pPr>
              <w:spacing w:after="0" w:before="0" w:line="228" w:lineRule="auto"/>
            </w:pPr>
            <w:r>
              <w:rPr>
                <w:rFonts w:ascii="Aptos" w:hAnsi="Aptos"/>
                <w:b/>
                <w:color w:val="FFFFFF"/>
                <w:sz w:val="14"/>
              </w:rPr>
            </w:r>
            <w:r>
              <w:rPr>
                <w:rFonts w:ascii="Aptos" w:hAnsi="Aptos"/>
                <w:b/>
                <w:color w:val="FFFFFF"/>
                <w:sz w:val="14"/>
              </w:rPr>
              <w:t>Excellent performance (4–5/5)</w:t>
            </w:r>
          </w:p>
        </w:tc>
      </w:tr>
      <w:tr>
        <w:trPr>
          <w:cantSplit/>
        </w:trPr>
        <w:tc>
          <w:tcPr>
            <w:tcW w:type="dxa" w:w="244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Coverage of quality issues</w:t>
            </w:r>
          </w:p>
        </w:tc>
        <w:tc>
          <w:tcPr>
            <w:tcW w:type="dxa" w:w="100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15%</w:t>
            </w:r>
          </w:p>
        </w:tc>
        <w:tc>
          <w:tcPr>
            <w:tcW w:type="dxa" w:w="676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Explains missingness, formats/units, duplicates, outliers, logical/domain issues and their risks.</w:t>
            </w:r>
          </w:p>
        </w:tc>
      </w:tr>
      <w:tr>
        <w:trPr>
          <w:cantSplit/>
        </w:trPr>
        <w:tc>
          <w:tcPr>
            <w:tcW w:type="dxa" w:w="244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Specific treatment rules</w:t>
            </w:r>
          </w:p>
        </w:tc>
        <w:tc>
          <w:tcPr>
            <w:tcW w:type="dxa" w:w="100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25%</w:t>
            </w:r>
          </w:p>
        </w:tc>
        <w:tc>
          <w:tcPr>
            <w:tcW w:type="dxa" w:w="676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Gives variable-aware, justified steps and distinguishes corrections, imputations, flags and exclusions.</w:t>
            </w:r>
          </w:p>
        </w:tc>
      </w:tr>
      <w:tr>
        <w:trPr>
          <w:cantSplit/>
        </w:trPr>
        <w:tc>
          <w:tcPr>
            <w:tcW w:type="dxa" w:w="244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Workflow and logical order</w:t>
            </w:r>
          </w:p>
        </w:tc>
        <w:tc>
          <w:tcPr>
            <w:tcW w:type="dxa" w:w="100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15%</w:t>
            </w:r>
          </w:p>
        </w:tc>
        <w:tc>
          <w:tcPr>
            <w:tcW w:type="dxa" w:w="676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Clear sequence from raw-data preservation through validation and export.</w:t>
            </w:r>
          </w:p>
        </w:tc>
      </w:tr>
      <w:tr>
        <w:trPr>
          <w:cantSplit/>
        </w:trPr>
        <w:tc>
          <w:tcPr>
            <w:tcW w:type="dxa" w:w="244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Hypothetical examples and calculations</w:t>
            </w:r>
          </w:p>
        </w:tc>
        <w:tc>
          <w:tcPr>
            <w:tcW w:type="dxa" w:w="100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10%</w:t>
            </w:r>
          </w:p>
        </w:tc>
        <w:tc>
          <w:tcPr>
            <w:tcW w:type="dxa" w:w="676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Correct conversions and before/after examples, clearly marked synthetic.</w:t>
            </w:r>
          </w:p>
        </w:tc>
      </w:tr>
      <w:tr>
        <w:trPr>
          <w:cantSplit/>
        </w:trPr>
        <w:tc>
          <w:tcPr>
            <w:tcW w:type="dxa" w:w="244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Reproducibility</w:t>
            </w:r>
          </w:p>
        </w:tc>
        <w:tc>
          <w:tcPr>
            <w:tcW w:type="dxa" w:w="100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15%</w:t>
            </w:r>
          </w:p>
        </w:tc>
        <w:tc>
          <w:tcPr>
            <w:tcW w:type="dxa" w:w="676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Raw data, script, environment, parameters, logs, and outputs can be rerun and audited.</w:t>
            </w:r>
          </w:p>
        </w:tc>
      </w:tr>
      <w:tr>
        <w:trPr>
          <w:cantSplit/>
        </w:trPr>
        <w:tc>
          <w:tcPr>
            <w:tcW w:type="dxa" w:w="244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Data validation / acceptance checks</w:t>
            </w:r>
          </w:p>
        </w:tc>
        <w:tc>
          <w:tcPr>
            <w:tcW w:type="dxa" w:w="100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10%</w:t>
            </w:r>
          </w:p>
        </w:tc>
        <w:tc>
          <w:tcPr>
            <w:tcW w:type="dxa" w:w="676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Measurable tests and evidence are provided.</w:t>
            </w:r>
          </w:p>
        </w:tc>
      </w:tr>
      <w:tr>
        <w:trPr>
          <w:cantSplit/>
        </w:trPr>
        <w:tc>
          <w:tcPr>
            <w:tcW w:type="dxa" w:w="244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Clarity, structure and references</w:t>
            </w:r>
          </w:p>
        </w:tc>
        <w:tc>
          <w:tcPr>
            <w:tcW w:type="dxa" w:w="100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10%</w:t>
            </w:r>
          </w:p>
        </w:tc>
        <w:tc>
          <w:tcPr>
            <w:tcW w:type="dxa" w:w="6768"/>
            <w:vAlign w:val="center"/>
            <w:tcMar>
              <w:top w:w="30" w:type="dxa"/>
              <w:start w:w="75" w:type="dxa"/>
              <w:bottom w:w="30" w:type="dxa"/>
              <w:end w:w="75" w:type="dxa"/>
            </w:tcMar>
          </w:tcPr>
          <w:p>
            <w:pPr>
              <w:spacing w:after="0" w:before="0" w:line="228" w:lineRule="auto"/>
            </w:pPr>
            <w:r>
              <w:rPr>
                <w:rFonts w:ascii="Aptos" w:hAnsi="Aptos"/>
                <w:sz w:val="14"/>
              </w:rPr>
            </w:r>
            <w:r>
              <w:rPr>
                <w:rFonts w:ascii="Aptos" w:hAnsi="Aptos"/>
                <w:b w:val="0"/>
                <w:sz w:val="14"/>
              </w:rPr>
              <w:t>Professional organization, readable tables, limitations and credible documentation links.</w:t>
            </w:r>
          </w:p>
        </w:tc>
      </w:tr>
      <w:tr>
        <w:trPr>
          <w:cantSplit/>
        </w:trPr>
        <w:tc>
          <w:tcPr>
            <w:tcW w:type="dxa" w:w="244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TOTAL</w:t>
            </w:r>
          </w:p>
        </w:tc>
        <w:tc>
          <w:tcPr>
            <w:tcW w:type="dxa" w:w="100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100%</w:t>
            </w:r>
          </w:p>
        </w:tc>
        <w:tc>
          <w:tcPr>
            <w:tcW w:type="dxa" w:w="6768"/>
            <w:vAlign w:val="center"/>
            <w:tcMar>
              <w:top w:w="30" w:type="dxa"/>
              <w:start w:w="75" w:type="dxa"/>
              <w:bottom w:w="30" w:type="dxa"/>
              <w:end w:w="75" w:type="dxa"/>
            </w:tcMar>
            <w:shd w:fill="F4F7F6"/>
          </w:tcPr>
          <w:p>
            <w:pPr>
              <w:spacing w:after="0" w:before="0" w:line="228" w:lineRule="auto"/>
            </w:pPr>
            <w:r>
              <w:rPr>
                <w:rFonts w:ascii="Aptos" w:hAnsi="Aptos"/>
                <w:sz w:val="14"/>
              </w:rPr>
            </w:r>
            <w:r>
              <w:rPr>
                <w:rFonts w:ascii="Aptos" w:hAnsi="Aptos"/>
                <w:b w:val="0"/>
                <w:sz w:val="14"/>
              </w:rPr>
              <w:t>A complete, testable strategy rather than generic descriptions.</w:t>
            </w:r>
          </w:p>
        </w:tc>
      </w:tr>
    </w:tbl>
    <w:p>
      <w:pPr>
        <w:spacing w:after="20"/>
      </w:pPr>
    </w:p>
    <w:p>
      <w:pPr>
        <w:pStyle w:val="Heading1"/>
      </w:pPr>
      <w:r>
        <w:t>9. Conclusion</w:t>
      </w:r>
    </w:p>
    <w:p>
      <w:pPr>
        <w:keepLines/>
      </w:pPr>
      <w:r>
        <w:t>A reliable preprocessing strategy is not merely a list of cleaning functions. It is a documented decision process that respects the meaning and context of agricultural fields. This report recommends retaining raw data, confirming schema and units, measuring quality before and after processing, using cautious variable-specific treatments for missing values, reviewing rather than automatically deleting outliers, validating cross-field logic, preventing data leakage, and preserving code and issue logs. The hypothetical example demonstrates how these decisions can be made consistently and reproduced. Before using the strategy on production data, the data owner should confirm the observation grain, crop-specific ranges, source definitions, privacy restrictions, and downstream analysis objective.</w:t>
      </w:r>
    </w:p>
    <w:p>
      <w:pPr>
        <w:pStyle w:val="Heading1"/>
      </w:pPr>
      <w:r>
        <w:t>References and Technical Resources</w:t>
      </w:r>
    </w:p>
    <w:p>
      <w:pPr>
        <w:spacing w:after="20"/>
        <w:ind w:left="115"/>
      </w:pPr>
      <w:r>
        <w:rPr>
          <w:b/>
          <w:sz w:val="15"/>
        </w:rPr>
        <w:t xml:space="preserve">1. pandas documentation — Working with missing data  </w:t>
      </w:r>
      <w:r>
        <w:rPr>
          <w:color w:val="5D6870"/>
          <w:sz w:val="15"/>
        </w:rPr>
        <w:t>https://pandas.pydata.org/docs/user_guide/missing_data.html</w:t>
      </w:r>
    </w:p>
    <w:p>
      <w:pPr>
        <w:spacing w:after="20"/>
        <w:ind w:left="115"/>
      </w:pPr>
      <w:r>
        <w:rPr>
          <w:b/>
          <w:sz w:val="15"/>
        </w:rPr>
        <w:t xml:space="preserve">2. scikit-learn documentation — Imputation of missing values  </w:t>
      </w:r>
      <w:r>
        <w:rPr>
          <w:color w:val="5D6870"/>
          <w:sz w:val="15"/>
        </w:rPr>
        <w:t>https://scikit-learn.org/stable/modules/impute.html</w:t>
      </w:r>
    </w:p>
    <w:p>
      <w:pPr>
        <w:spacing w:after="20"/>
        <w:ind w:left="115"/>
      </w:pPr>
      <w:r>
        <w:rPr>
          <w:b/>
          <w:sz w:val="15"/>
        </w:rPr>
        <w:t xml:space="preserve">3. scikit-learn documentation — Preprocessing data  </w:t>
      </w:r>
      <w:r>
        <w:rPr>
          <w:color w:val="5D6870"/>
          <w:sz w:val="15"/>
        </w:rPr>
        <w:t>https://scikit-learn.org/stable/modules/preprocessing.html</w:t>
      </w:r>
    </w:p>
    <w:p>
      <w:pPr>
        <w:spacing w:after="20"/>
        <w:ind w:left="115"/>
      </w:pPr>
      <w:r>
        <w:rPr>
          <w:b/>
          <w:sz w:val="15"/>
        </w:rPr>
        <w:t xml:space="preserve">4. NIST/SEMATECH e-Handbook — Identifying outliers  </w:t>
      </w:r>
      <w:r>
        <w:rPr>
          <w:color w:val="5D6870"/>
          <w:sz w:val="15"/>
        </w:rPr>
        <w:t>https://www.itl.nist.gov/div898/handbook/eda/section3/eda35h.htm</w:t>
      </w:r>
    </w:p>
    <w:p>
      <w:pPr>
        <w:spacing w:after="20"/>
        <w:ind w:left="115"/>
      </w:pPr>
      <w:r>
        <w:rPr>
          <w:b/>
          <w:sz w:val="15"/>
        </w:rPr>
        <w:t xml:space="preserve">5. FAOSTAT  </w:t>
      </w:r>
      <w:r>
        <w:rPr>
          <w:color w:val="5D6870"/>
          <w:sz w:val="15"/>
        </w:rPr>
        <w:t>https://www.fao.org/faostat/en/#data</w:t>
      </w:r>
    </w:p>
    <w:p>
      <w:pPr>
        <w:spacing w:after="20"/>
        <w:ind w:left="115"/>
      </w:pPr>
      <w:r>
        <w:rPr>
          <w:b/>
          <w:sz w:val="15"/>
        </w:rPr>
        <w:t xml:space="preserve">6. World Bank — Agriculture and Rural Development  </w:t>
      </w:r>
      <w:r>
        <w:rPr>
          <w:color w:val="5D6870"/>
          <w:sz w:val="15"/>
        </w:rPr>
        <w:t>https://data.worldbank.org/topic/agriculture-and-rural-development</w:t>
      </w:r>
    </w:p>
    <w:p>
      <w:pPr>
        <w:spacing w:after="20"/>
        <w:ind w:left="115"/>
      </w:pPr>
      <w:r>
        <w:rPr>
          <w:b/>
          <w:sz w:val="15"/>
        </w:rPr>
        <w:t xml:space="preserve">7. DA&amp;FW / Directorate of Economics and Statistics  </w:t>
      </w:r>
      <w:r>
        <w:rPr>
          <w:color w:val="5D6870"/>
          <w:sz w:val="15"/>
        </w:rPr>
        <w:t>https://desagri.gov.in/</w:t>
      </w:r>
    </w:p>
    <w:p>
      <w:r>
        <w:br w:type="page"/>
      </w:r>
    </w:p>
    <w:p>
      <w:pPr>
        <w:pStyle w:val="Heading1"/>
      </w:pPr>
      <w:r>
        <w:t>Appendix A. Reproducible Example</w:t>
      </w:r>
    </w:p>
    <w:p>
      <w:r>
        <w:t>The companion ZIP includes hypothetical_agri_raw.csv and clean_agri_data.py. Run them in the same folder after installing pandas. The script generates cleaned_agri_example.csv and quality_issues_log.csv. The sample includes intentional inconsistencies for teaching purposes.</w:t>
      </w:r>
    </w:p>
    <w:tbl>
      <w:tblPr>
        <w:tblW w:type="auto" w:w="0"/>
        <w:jc w:val="center"/>
        <w:tblLook w:firstColumn="1" w:firstRow="1" w:lastColumn="0" w:lastRow="0" w:noHBand="0" w:noVBand="1" w:val="04A0"/>
      </w:tblPr>
      <w:tblGrid>
        <w:gridCol w:w="9994"/>
      </w:tblGrid>
      <w:tr>
        <w:tc>
          <w:tcPr>
            <w:tcW w:type="dxa" w:w="9994"/>
            <w:shd w:fill="EAF5F1"/>
            <w:tcMar>
              <w:top w:w="150" w:type="dxa"/>
              <w:start w:w="180" w:type="dxa"/>
              <w:bottom w:w="150" w:type="dxa"/>
              <w:end w:w="180" w:type="dxa"/>
            </w:tcMar>
          </w:tcPr>
          <w:p>
            <w:pPr>
              <w:spacing w:after="80"/>
            </w:pPr>
            <w:r/>
            <w:r>
              <w:rPr>
                <w:b/>
                <w:color w:val="133B33"/>
                <w:sz w:val="20"/>
              </w:rPr>
              <w:t>Run instructions</w:t>
            </w:r>
          </w:p>
          <w:p>
            <w:pPr>
              <w:spacing w:after="0"/>
            </w:pPr>
            <w:r>
              <w:rPr>
                <w:color w:val="344054"/>
                <w:sz w:val="18"/>
              </w:rPr>
              <w:t>1. Install Python 3.10+ and pandas.  2. Extract all files into one folder.  3. Run: python clean_agri_data.py  4. Inspect cleaned_agri_example.csv and quality_issues_log.csv. The script preserves its input and records flagged issues. Output values are synthetic demonstration data.</w:t>
            </w:r>
          </w:p>
        </w:tc>
      </w:tr>
    </w:tbl>
    <w:p>
      <w:pPr>
        <w:spacing w:after="20"/>
      </w:pPr>
    </w:p>
    <w:p>
      <w:pPr>
        <w:pStyle w:val="Heading2"/>
      </w:pPr>
      <w:r>
        <w:t>Core validation logic (illustrative)</w:t>
      </w:r>
    </w:p>
    <w:p>
      <w:pPr>
        <w:spacing w:after="0"/>
        <w:ind w:left="360"/>
      </w:pPr>
      <w:r>
        <w:rPr>
          <w:rFonts w:ascii="Consolas" w:hAnsi="Consolas"/>
          <w:color w:val="25313C"/>
          <w:sz w:val="16"/>
        </w:rPr>
        <w:t># Calculate yield only when units are standardized and area is positive</w:t>
      </w:r>
    </w:p>
    <w:p>
      <w:pPr>
        <w:spacing w:after="0"/>
        <w:ind w:left="360"/>
      </w:pPr>
      <w:r>
        <w:rPr>
          <w:rFonts w:ascii="Consolas" w:hAnsi="Consolas"/>
          <w:color w:val="25313C"/>
          <w:sz w:val="16"/>
        </w:rPr>
        <w:t>valid = area_ha.notna() &amp; (area_ha &gt; 0) &amp; production_t.notna() &amp; (production_t &gt;= 0)</w:t>
      </w:r>
    </w:p>
    <w:p>
      <w:pPr>
        <w:spacing w:after="0"/>
        <w:ind w:left="360"/>
      </w:pPr>
      <w:r>
        <w:rPr>
          <w:rFonts w:ascii="Consolas" w:hAnsi="Consolas"/>
          <w:color w:val="25313C"/>
          <w:sz w:val="16"/>
        </w:rPr>
        <w:t>calculated_yield_t_ha = production_t[valid] / area_ha[valid]</w:t>
      </w:r>
    </w:p>
    <w:p>
      <w:pPr>
        <w:spacing w:after="0"/>
        <w:ind w:left="360"/>
      </w:pPr>
      <w:r>
        <w:rPr>
          <w:rFonts w:ascii="Consolas" w:hAnsi="Consolas"/>
          <w:color w:val="25313C"/>
          <w:sz w:val="16"/>
        </w:rPr>
        <w:t xml:space="preserve"> </w:t>
      </w:r>
    </w:p>
    <w:p>
      <w:pPr>
        <w:spacing w:after="0"/>
        <w:ind w:left="360"/>
      </w:pPr>
      <w:r>
        <w:rPr>
          <w:rFonts w:ascii="Consolas" w:hAnsi="Consolas"/>
          <w:color w:val="25313C"/>
          <w:sz w:val="16"/>
        </w:rPr>
        <w:t># Flag a reported/calculated mismatch; investigate rather than auto-delete</w:t>
      </w:r>
    </w:p>
    <w:p>
      <w:pPr>
        <w:spacing w:after="0"/>
        <w:ind w:left="360"/>
      </w:pPr>
      <w:r>
        <w:rPr>
          <w:rFonts w:ascii="Consolas" w:hAnsi="Consolas"/>
          <w:color w:val="25313C"/>
          <w:sz w:val="16"/>
        </w:rPr>
        <w:t>relative_gap = abs(reported_yield - calculated_yield_t_ha) / calculated_yield_t_ha</w:t>
      </w:r>
    </w:p>
    <w:p>
      <w:pPr>
        <w:spacing w:after="0"/>
        <w:ind w:left="360"/>
      </w:pPr>
      <w:r>
        <w:rPr>
          <w:rFonts w:ascii="Consolas" w:hAnsi="Consolas"/>
          <w:color w:val="25313C"/>
          <w:sz w:val="16"/>
        </w:rPr>
        <w:t>flag_for_review = relative_gap &gt; 0.10  # example review threshold; justify for each use case</w:t>
      </w:r>
    </w:p>
    <w:p>
      <w:pPr>
        <w:spacing w:after="0"/>
        <w:ind w:left="360"/>
      </w:pPr>
      <w:r>
        <w:rPr>
          <w:rFonts w:ascii="Consolas" w:hAnsi="Consolas"/>
          <w:color w:val="25313C"/>
          <w:sz w:val="16"/>
        </w:rPr>
        <w:t xml:space="preserve"> </w:t>
      </w:r>
    </w:p>
    <w:p>
      <w:pPr>
        <w:spacing w:after="0"/>
        <w:ind w:left="360"/>
      </w:pPr>
      <w:r>
        <w:rPr>
          <w:rFonts w:ascii="Consolas" w:hAnsi="Consolas"/>
          <w:color w:val="25313C"/>
          <w:sz w:val="16"/>
        </w:rPr>
        <w:t># Fit imputers/scalers only on training data, then transform validation/test data</w:t>
      </w:r>
    </w:p>
    <w:tbl>
      <w:tblPr>
        <w:tblW w:type="auto" w:w="0"/>
        <w:jc w:val="center"/>
        <w:tblLook w:firstColumn="1" w:firstRow="1" w:lastColumn="0" w:lastRow="0" w:noHBand="0" w:noVBand="1" w:val="04A0"/>
      </w:tblPr>
      <w:tblGrid>
        <w:gridCol w:w="9994"/>
      </w:tblGrid>
      <w:tr>
        <w:tc>
          <w:tcPr>
            <w:tcW w:type="dxa" w:w="9994"/>
            <w:shd w:fill="FFF4E5"/>
            <w:tcMar>
              <w:top w:w="150" w:type="dxa"/>
              <w:start w:w="180" w:type="dxa"/>
              <w:bottom w:w="150" w:type="dxa"/>
              <w:end w:w="180" w:type="dxa"/>
            </w:tcMar>
          </w:tcPr>
          <w:p>
            <w:pPr>
              <w:spacing w:after="80"/>
            </w:pPr>
            <w:r/>
            <w:r>
              <w:rPr>
                <w:b/>
                <w:color w:val="133B33"/>
                <w:sz w:val="20"/>
              </w:rPr>
              <w:t>Final reminder</w:t>
            </w:r>
          </w:p>
          <w:p>
            <w:pPr>
              <w:spacing w:after="0"/>
            </w:pPr>
            <w:r>
              <w:rPr>
                <w:color w:val="344054"/>
                <w:sz w:val="18"/>
              </w:rPr>
              <w:t>The 10% discrepancy and &gt;20 t/ha example flag in the companion script are demonstrative starting points, not universal agronomic thresholds. Calibrate all thresholds using crop, season, district, source quality, and reliable reference statistics.</w:t>
            </w:r>
          </w:p>
        </w:tc>
      </w:tr>
    </w:tbl>
    <w:p>
      <w:pPr>
        <w:spacing w:after="20"/>
      </w:pP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D6870"/>
        <w:sz w:val="16"/>
      </w:rPr>
      <w:t>SANJAY H H  •  1MJ24CD041  •  MVJ COLLEGE OF ENGINEERING</w:t>
    </w:r>
  </w:p>
  <w:p>
    <w:pPr>
      <w:jc w:val="right"/>
    </w:pPr>
    <w:r>
      <w:rPr>
        <w:color w:val="5D687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6E5C"/>
        <w:sz w:val="16"/>
      </w:rPr>
      <w:t>AGRIBUSINESS DATA ANALYSIS  |  WEEK 2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33B33"/>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F6E5C"/>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E978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33B3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Data Cleaning and Preprocessing Strategy for Agribusiness</dc:title>
  <dc:subject>Data quality, cleaning methods, workflow, reproducibility and hypothetical example</dc:subject>
  <dc:creator>Sanjay H H</dc:creator>
  <cp:keywords>agribusiness, data cleaning, preprocessing, data science,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