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6B7280"/>
          <w:sz w:val="20"/>
          <w:szCs w:val="20"/>
        </w:rPr>
        <w:t xml:space="preserve">FINAL YEAR CAPSTONE PROJECT PROPOSAL — VERSION 2 (POST-REVIEW REVISION)</w:t>
      </w:r>
    </w:p>
    <w:p>
      <w:pPr>
        <w:spacing w:after="120"/>
        <w:jc w:val="center"/>
      </w:pPr>
      <w:r>
        <w:rPr>
          <w:rFonts w:ascii="Calibri" w:cs="Calibri" w:eastAsia="Calibri" w:hAnsi="Calibri"/>
          <w:b/>
          <w:bCs/>
          <w:color w:val="1F3864"/>
          <w:sz w:val="32"/>
          <w:szCs w:val="32"/>
        </w:rPr>
        <w:t xml:space="preserve">GraphGate: Detecting Cross-File Security Regressions in Iterative LLM Code Refinement via Temporal Code-Graph Differencing</w:t>
      </w:r>
    </w:p>
    <w:p>
      <w:pPr>
        <w:spacing w:after="40"/>
        <w:jc w:val="center"/>
      </w:pPr>
      <w:r>
        <w:rPr>
          <w:rFonts w:ascii="Calibri" w:cs="Calibri" w:eastAsia="Calibri" w:hAnsi="Calibri"/>
          <w:sz w:val="22"/>
          <w:szCs w:val="22"/>
        </w:rPr>
        <w:t xml:space="preserve">Sanjay  |  B.Tech Artificial Intelligence and Data Science  |  URK23AI1057</w:t>
      </w:r>
    </w:p>
    <w:p>
      <w:pPr>
        <w:spacing w:after="300"/>
        <w:jc w:val="center"/>
      </w:pPr>
      <w:r>
        <w:rPr>
          <w:rFonts w:ascii="Calibri" w:cs="Calibri" w:eastAsia="Calibri" w:hAnsi="Calibri"/>
          <w:i/>
          <w:iCs/>
          <w:sz w:val="22"/>
          <w:szCs w:val="22"/>
        </w:rPr>
        <w:t xml:space="preserve">Karunya Institute of Technology and Sciences</w:t>
      </w:r>
    </w:p>
    <w:p>
      <w:pPr>
        <w:pStyle w:val="Heading1"/>
        <w:spacing w:after="160" w:before="320"/>
      </w:pPr>
      <w:r>
        <w:rPr>
          <w:rFonts w:ascii="Calibri" w:cs="Calibri" w:eastAsia="Calibri" w:hAnsi="Calibri"/>
          <w:b/>
          <w:bCs/>
          <w:color w:val="1F3864"/>
          <w:sz w:val="30"/>
          <w:szCs w:val="30"/>
        </w:rPr>
        <w:t xml:space="preserve">1. Abstract</w:t>
      </w:r>
    </w:p>
    <w:p>
      <w:pPr>
        <w:spacing w:after="160" w:line="276"/>
        <w:jc w:val="both"/>
      </w:pPr>
      <w:r>
        <w:rPr>
          <w:rFonts w:ascii="Calibri" w:cs="Calibri" w:eastAsia="Calibri" w:hAnsi="Calibri"/>
          <w:b w:val="false"/>
          <w:bCs w:val="false"/>
          <w:i w:val="false"/>
          <w:iCs w:val="false"/>
          <w:sz w:val="22"/>
          <w:szCs w:val="22"/>
        </w:rPr>
        <w:t xml:space="preserve">Developers rarely accept AI-generated code verbatim; they iterate, asking the model to refine and extend code over multiple turns. Recent evidence (IEEE ISTAS 2025) indicates that this feedback loop is not security-neutral: critical vulnerabilities were observed to increase by 37.6% after only five refinement iterations. Existing mitigations examine only the locally changed code, yet a class of regressions is structurally invisible at the diff level, such as an iteration that removes a sanitization helper on which callers in other files depend. This project proposes GraphGate, a security gate that operates inside the iterative refinement loop, deployed as a CI pre-merge check or agent-framework middleware. Its core mechanism is temporal code-graph differencing: after each candidate revision, the system computes the delta between successive code graphs and applies deterministic security rules to that delta (sanitizer node removed, new source-to-sink path created, guard edge eliminated, path-to-sink shortened). An LLM component then triages and explains flagged deltas rather than performing open-ended vulnerability discovery. We are not aware of prior work that directly measures the effect of cross-file graph grounding on security degradation across iterative LLM refinement; our evaluation replays identical refinement traces under three gate conditions (none, local-only, graph-based), compares against static-analyzer baselines (Pysa, CodeQL), and validates on a holdout set of real multi-turn refinement sessions. We report degradation curves, cross-file regression recall, iterations-to-detection, false-positive burden, and latency overhead, with ablations over graph components and retrieval depth.</w:t>
      </w:r>
    </w:p>
    <w:p>
      <w:pPr>
        <w:pStyle w:val="Heading1"/>
        <w:spacing w:after="160" w:before="320"/>
      </w:pPr>
      <w:r>
        <w:rPr>
          <w:rFonts w:ascii="Calibri" w:cs="Calibri" w:eastAsia="Calibri" w:hAnsi="Calibri"/>
          <w:b/>
          <w:bCs/>
          <w:color w:val="1F3864"/>
          <w:sz w:val="30"/>
          <w:szCs w:val="30"/>
        </w:rPr>
        <w:t xml:space="preserve">2. Problem Statement and Motivation</w:t>
      </w:r>
    </w:p>
    <w:p>
      <w:pPr>
        <w:pStyle w:val="Heading2"/>
        <w:spacing w:after="120" w:before="240"/>
      </w:pPr>
      <w:r>
        <w:rPr>
          <w:rFonts w:ascii="Calibri" w:cs="Calibri" w:eastAsia="Calibri" w:hAnsi="Calibri"/>
          <w:b/>
          <w:bCs/>
          <w:color w:val="2E5395"/>
          <w:sz w:val="25"/>
          <w:szCs w:val="25"/>
        </w:rPr>
        <w:t xml:space="preserve">2.1 Security degradation under iteration</w:t>
      </w:r>
    </w:p>
    <w:p>
      <w:pPr>
        <w:spacing w:after="160" w:line="276"/>
        <w:jc w:val="both"/>
      </w:pPr>
      <w:r>
        <w:rPr>
          <w:rFonts w:ascii="Calibri" w:cs="Calibri" w:eastAsia="Calibri" w:hAnsi="Calibri"/>
          <w:b w:val="false"/>
          <w:bCs w:val="false"/>
          <w:i w:val="false"/>
          <w:iCs w:val="false"/>
          <w:sz w:val="22"/>
          <w:szCs w:val="22"/>
        </w:rPr>
        <w:t xml:space="preserve">The base study (IEEE ISTAS 2025, “Security Degradation in Iterative AI Code Generation”) established experimentally that when initially secure code undergoes multiple rounds of LLM-based improvement without human intervention, security properties degrade rather than improve: a 37.6% increase in critical vulnerabilities after five iterations, with distinct vulnerability patterns across prompting styles. The authors deliberately excluded any intervention mechanism to establish a baseline, and framed collaborative and verification-based approaches as the required follow-up work. We are not aware of a published system that closes this loop.</w:t>
      </w:r>
    </w:p>
    <w:p>
      <w:pPr>
        <w:pStyle w:val="Heading2"/>
        <w:spacing w:after="120" w:before="240"/>
      </w:pPr>
      <w:r>
        <w:rPr>
          <w:rFonts w:ascii="Calibri" w:cs="Calibri" w:eastAsia="Calibri" w:hAnsi="Calibri"/>
          <w:b/>
          <w:bCs/>
          <w:color w:val="2E5395"/>
          <w:sz w:val="25"/>
          <w:szCs w:val="25"/>
        </w:rPr>
        <w:t xml:space="preserve">2.2 The blind spot of local-only checking</w:t>
      </w:r>
    </w:p>
    <w:p>
      <w:pPr>
        <w:spacing w:after="160" w:line="276"/>
        <w:jc w:val="both"/>
      </w:pPr>
      <w:r>
        <w:rPr>
          <w:rFonts w:ascii="Calibri" w:cs="Calibri" w:eastAsia="Calibri" w:hAnsi="Calibri"/>
          <w:b w:val="false"/>
          <w:bCs w:val="false"/>
          <w:i w:val="false"/>
          <w:iCs w:val="false"/>
          <w:sz w:val="22"/>
          <w:szCs w:val="22"/>
        </w:rPr>
        <w:t xml:space="preserve">A diff-scoped check can only see the changed lines and file. A meaningful class of security regressions is inherently cross-file: an iteration may (a) remove or weaken a sanitization or validation function that distant callers depend on, (b) change a function signature or default such that a caller’s previously safe usage becomes unsafe, or (c) introduce a new call path that routes untrusted input around an existing guard. Detecting these requires knowledge of the callers, callees, and data-flow neighborhood of every changed symbol; that information resides in the repository structure, not in the diff.</w:t>
      </w:r>
    </w:p>
    <w:p>
      <w:pPr>
        <w:pStyle w:val="Heading2"/>
        <w:spacing w:after="120" w:before="240"/>
      </w:pPr>
      <w:r>
        <w:rPr>
          <w:rFonts w:ascii="Calibri" w:cs="Calibri" w:eastAsia="Calibri" w:hAnsi="Calibri"/>
          <w:b/>
          <w:bCs/>
          <w:color w:val="2E5395"/>
          <w:sz w:val="25"/>
          <w:szCs w:val="25"/>
        </w:rPr>
        <w:t xml:space="preserve">2.3 Deployment context</w:t>
      </w:r>
    </w:p>
    <w:p>
      <w:pPr>
        <w:spacing w:after="160" w:line="276"/>
        <w:jc w:val="both"/>
      </w:pPr>
      <w:r>
        <w:rPr>
          <w:rFonts w:ascii="Calibri" w:cs="Calibri" w:eastAsia="Calibri" w:hAnsi="Calibri"/>
          <w:b w:val="false"/>
          <w:bCs w:val="false"/>
          <w:i w:val="false"/>
          <w:iCs w:val="false"/>
          <w:sz w:val="22"/>
          <w:szCs w:val="22"/>
        </w:rPr>
        <w:t xml:space="preserve">GraphGate targets two concrete deployment settings, which fix its performance requirements: (1) a CI pre-merge gate, where a median added latency of up to ~10 seconds per revision and a false-positive rate below ~15% are acceptable operating points, and (2) middleware inside an agent framework (e.g., a LangGraph or AutoGen node between the code-generation step and the commit step), where the gate’s BLOCK rationale is fed back as context for the next refinement turn. Interactive IDE deployment is explicitly out of scope, as its latency envelope is stricter than this project can guarantee.</w:t>
      </w:r>
    </w:p>
    <w:p>
      <w:pPr>
        <w:pStyle w:val="Heading2"/>
        <w:spacing w:after="120" w:before="240"/>
      </w:pPr>
      <w:r>
        <w:rPr>
          <w:rFonts w:ascii="Calibri" w:cs="Calibri" w:eastAsia="Calibri" w:hAnsi="Calibri"/>
          <w:b/>
          <w:bCs/>
          <w:color w:val="2E5395"/>
          <w:sz w:val="25"/>
          <w:szCs w:val="25"/>
        </w:rPr>
        <w:t xml:space="preserve">2.4 Positioning and honest framing of the contribution</w:t>
      </w:r>
    </w:p>
    <w:p>
      <w:pPr>
        <w:spacing w:after="160" w:line="276"/>
        <w:jc w:val="both"/>
      </w:pPr>
      <w:r>
        <w:rPr>
          <w:rFonts w:ascii="Calibri" w:cs="Calibri" w:eastAsia="Calibri" w:hAnsi="Calibri"/>
          <w:b w:val="false"/>
          <w:bCs w:val="false"/>
          <w:i w:val="false"/>
          <w:iCs w:val="false"/>
          <w:sz w:val="22"/>
          <w:szCs w:val="22"/>
        </w:rPr>
        <w:t xml:space="preserve">Graph-guided LLM analysis of code snapshots is an active field: LLMxCPG (USENIX Security 2025) demonstrated that Code Property Graph slices substantially improve LLM vulnerability detection on static snapshots; RepoAudit performs autonomous repository-level auditing; MulVul and LLMDFA address retrieval-augmented and data-flow-based detection respectively. All of these analyze a codebase at a single point in time. Our contribution is not a fundamentally new general-purpose graph algorithm; it is (a) a temporal graph-differencing analysis specialized to security-relevant structural changes between refinement iterations, and (b) the first controlled evaluation, to our knowledge, of graph-grounded security gating inside an iterative LLM refinement loop.</w:t>
      </w:r>
    </w:p>
    <w:p>
      <w:pPr>
        <w:pStyle w:val="Heading1"/>
        <w:spacing w:after="160" w:before="320"/>
      </w:pPr>
      <w:r>
        <w:rPr>
          <w:rFonts w:ascii="Calibri" w:cs="Calibri" w:eastAsia="Calibri" w:hAnsi="Calibri"/>
          <w:b/>
          <w:bCs/>
          <w:color w:val="1F3864"/>
          <w:sz w:val="30"/>
          <w:szCs w:val="30"/>
        </w:rPr>
        <w:t xml:space="preserve">3. Research Questions and Expected Contributions</w:t>
      </w:r>
    </w:p>
    <w:p>
      <w:pPr>
        <w:pStyle w:val="Heading2"/>
        <w:spacing w:after="120" w:before="240"/>
      </w:pPr>
      <w:r>
        <w:rPr>
          <w:rFonts w:ascii="Calibri" w:cs="Calibri" w:eastAsia="Calibri" w:hAnsi="Calibri"/>
          <w:b/>
          <w:bCs/>
          <w:color w:val="2E5395"/>
          <w:sz w:val="25"/>
          <w:szCs w:val="25"/>
        </w:rPr>
        <w:t xml:space="preserve">3.1 Research questions</w:t>
      </w:r>
    </w:p>
    <w:p>
      <w:pPr>
        <w:pStyle w:val="ListParagraph"/>
        <w:numPr>
          <w:ilvl w:val="0"/>
          <w:numId w:val="2"/>
        </w:numPr>
        <w:spacing w:after="100" w:line="276"/>
        <w:jc w:val="both"/>
      </w:pPr>
      <w:r>
        <w:rPr>
          <w:rFonts w:ascii="Calibri" w:cs="Calibri" w:eastAsia="Calibri" w:hAnsi="Calibri"/>
          <w:b/>
          <w:bCs/>
          <w:sz w:val="22"/>
          <w:szCs w:val="22"/>
        </w:rPr>
        <w:t xml:space="preserve">RQ1 (primary): </w:t>
      </w:r>
      <w:r>
        <w:rPr>
          <w:rFonts w:ascii="Calibri" w:cs="Calibri" w:eastAsia="Calibri" w:hAnsi="Calibri"/>
          <w:sz w:val="22"/>
          <w:szCs w:val="22"/>
        </w:rPr>
        <w:t xml:space="preserve">Does a graph-differencing security gate reduce security degradation across refinement iterations, compared to (a) no gate and (b) an identical gate restricted to local diff context? By how much, measured on the degradation curve?</w:t>
      </w:r>
    </w:p>
    <w:p>
      <w:pPr>
        <w:pStyle w:val="ListParagraph"/>
        <w:numPr>
          <w:ilvl w:val="0"/>
          <w:numId w:val="2"/>
        </w:numPr>
        <w:spacing w:after="100" w:line="276"/>
        <w:jc w:val="both"/>
      </w:pPr>
      <w:r>
        <w:rPr>
          <w:rFonts w:ascii="Calibri" w:cs="Calibri" w:eastAsia="Calibri" w:hAnsi="Calibri"/>
          <w:b/>
          <w:bCs/>
          <w:sz w:val="22"/>
          <w:szCs w:val="22"/>
        </w:rPr>
        <w:t xml:space="preserve">RQ2: </w:t>
      </w:r>
      <w:r>
        <w:rPr>
          <w:rFonts w:ascii="Calibri" w:cs="Calibri" w:eastAsia="Calibri" w:hAnsi="Calibri"/>
          <w:sz w:val="22"/>
          <w:szCs w:val="22"/>
        </w:rPr>
        <w:t xml:space="preserve">What is the gate’s recall on the cross-file regression subset, which is undetectable in principle from the diff alone, and how quickly are regressions caught (iterations-to-detection)?</w:t>
      </w:r>
    </w:p>
    <w:p>
      <w:pPr>
        <w:pStyle w:val="ListParagraph"/>
        <w:numPr>
          <w:ilvl w:val="0"/>
          <w:numId w:val="2"/>
        </w:numPr>
        <w:spacing w:after="100" w:line="276"/>
        <w:jc w:val="both"/>
      </w:pPr>
      <w:r>
        <w:rPr>
          <w:rFonts w:ascii="Calibri" w:cs="Calibri" w:eastAsia="Calibri" w:hAnsi="Calibri"/>
          <w:b/>
          <w:bCs/>
          <w:sz w:val="22"/>
          <w:szCs w:val="22"/>
        </w:rPr>
        <w:t xml:space="preserve">RQ3: </w:t>
      </w:r>
      <w:r>
        <w:rPr>
          <w:rFonts w:ascii="Calibri" w:cs="Calibri" w:eastAsia="Calibri" w:hAnsi="Calibri"/>
          <w:sz w:val="22"/>
          <w:szCs w:val="22"/>
        </w:rPr>
        <w:t xml:space="preserve">Does the combined system outperform mature static taint analyzers alone (Pysa, CodeQL) in this in-loop setting, i.e., does the LLM triage layer add measurable value beyond static analysis?</w:t>
      </w:r>
    </w:p>
    <w:p>
      <w:pPr>
        <w:pStyle w:val="ListParagraph"/>
        <w:numPr>
          <w:ilvl w:val="0"/>
          <w:numId w:val="2"/>
        </w:numPr>
        <w:spacing w:after="100" w:line="276"/>
        <w:jc w:val="both"/>
      </w:pPr>
      <w:r>
        <w:rPr>
          <w:rFonts w:ascii="Calibri" w:cs="Calibri" w:eastAsia="Calibri" w:hAnsi="Calibri"/>
          <w:b/>
          <w:bCs/>
          <w:sz w:val="22"/>
          <w:szCs w:val="22"/>
        </w:rPr>
        <w:t xml:space="preserve">RQ4: </w:t>
      </w:r>
      <w:r>
        <w:rPr>
          <w:rFonts w:ascii="Calibri" w:cs="Calibri" w:eastAsia="Calibri" w:hAnsi="Calibri"/>
          <w:sz w:val="22"/>
          <w:szCs w:val="22"/>
        </w:rPr>
        <w:t xml:space="preserve">What is the cost of graph grounding: false-positive burden, added latency, and token overhead per iteration, and which graph components (call edges vs. taint edges, hop depth) drive the benefit (ablations)?</w:t>
      </w:r>
    </w:p>
    <w:p>
      <w:pPr>
        <w:pStyle w:val="Heading2"/>
        <w:spacing w:after="120" w:before="240"/>
      </w:pPr>
      <w:r>
        <w:rPr>
          <w:rFonts w:ascii="Calibri" w:cs="Calibri" w:eastAsia="Calibri" w:hAnsi="Calibri"/>
          <w:b/>
          <w:bCs/>
          <w:color w:val="2E5395"/>
          <w:sz w:val="25"/>
          <w:szCs w:val="25"/>
        </w:rPr>
        <w:t xml:space="preserve">3.2 Expected contributions</w:t>
      </w:r>
    </w:p>
    <w:p>
      <w:pPr>
        <w:pStyle w:val="ListParagraph"/>
        <w:numPr>
          <w:ilvl w:val="0"/>
          <w:numId w:val="3"/>
        </w:numPr>
        <w:spacing w:after="100" w:line="276"/>
        <w:jc w:val="both"/>
      </w:pPr>
      <w:r>
        <w:rPr>
          <w:rFonts w:ascii="Calibri" w:cs="Calibri" w:eastAsia="Calibri" w:hAnsi="Calibri"/>
          <w:sz w:val="22"/>
          <w:szCs w:val="22"/>
        </w:rPr>
        <w:t xml:space="preserve">A temporal graph-differencing analysis (ΔG rules) that flags security-relevant structural changes between successive code-graph states, with an LLM used for triage and explanation of flagged deltas rather than open-ended detection.</w:t>
      </w:r>
    </w:p>
    <w:p>
      <w:pPr>
        <w:pStyle w:val="ListParagraph"/>
        <w:numPr>
          <w:ilvl w:val="0"/>
          <w:numId w:val="3"/>
        </w:numPr>
        <w:spacing w:after="100" w:line="276"/>
        <w:jc w:val="both"/>
      </w:pPr>
      <w:r>
        <w:rPr>
          <w:rFonts w:ascii="Calibri" w:cs="Calibri" w:eastAsia="Calibri" w:hAnsi="Calibri"/>
          <w:sz w:val="22"/>
          <w:szCs w:val="22"/>
        </w:rPr>
        <w:t xml:space="preserve">A working in-loop security gate for CI and agent-framework deployment, with allow / block-and-explain / auto-repair (stretch) decisions.</w:t>
      </w:r>
    </w:p>
    <w:p>
      <w:pPr>
        <w:pStyle w:val="ListParagraph"/>
        <w:numPr>
          <w:ilvl w:val="0"/>
          <w:numId w:val="3"/>
        </w:numPr>
        <w:spacing w:after="100" w:line="276"/>
        <w:jc w:val="both"/>
      </w:pPr>
      <w:r>
        <w:rPr>
          <w:rFonts w:ascii="Calibri" w:cs="Calibri" w:eastAsia="Calibri" w:hAnsi="Calibri"/>
          <w:sz w:val="22"/>
          <w:szCs w:val="22"/>
        </w:rPr>
        <w:t xml:space="preserve">A reproducible benchmark of iterative-refinement traces with ground-truth regressions derived from real CVE fix commits, plus a holdout set of real multi-turn LLM refinement sessions.</w:t>
      </w:r>
    </w:p>
    <w:p>
      <w:pPr>
        <w:pStyle w:val="ListParagraph"/>
        <w:numPr>
          <w:ilvl w:val="0"/>
          <w:numId w:val="3"/>
        </w:numPr>
        <w:spacing w:after="100" w:line="276"/>
        <w:jc w:val="both"/>
      </w:pPr>
      <w:r>
        <w:rPr>
          <w:rFonts w:ascii="Calibri" w:cs="Calibri" w:eastAsia="Calibri" w:hAnsi="Calibri"/>
          <w:sz w:val="22"/>
          <w:szCs w:val="22"/>
        </w:rPr>
        <w:t xml:space="preserve">A controlled three-condition measurement of security degradation under iteration, with static-analyzer baselines and component ablations.</w:t>
      </w:r>
    </w:p>
    <w:p>
      <w:pPr>
        <w:pStyle w:val="Heading1"/>
        <w:spacing w:after="160" w:before="320"/>
      </w:pPr>
      <w:r>
        <w:rPr>
          <w:rFonts w:ascii="Calibri" w:cs="Calibri" w:eastAsia="Calibri" w:hAnsi="Calibri"/>
          <w:b/>
          <w:bCs/>
          <w:color w:val="1F3864"/>
          <w:sz w:val="30"/>
          <w:szCs w:val="30"/>
        </w:rPr>
        <w:t xml:space="preserve">4. Related Work</w:t>
      </w:r>
    </w:p>
    <w:p>
      <w:pPr>
        <w:pStyle w:val="Heading2"/>
        <w:spacing w:after="120" w:before="240"/>
      </w:pPr>
      <w:r>
        <w:rPr>
          <w:rFonts w:ascii="Calibri" w:cs="Calibri" w:eastAsia="Calibri" w:hAnsi="Calibri"/>
          <w:b/>
          <w:bCs/>
          <w:color w:val="2E5395"/>
          <w:sz w:val="25"/>
          <w:szCs w:val="25"/>
        </w:rPr>
        <w:t xml:space="preserve">4.1 Foundations of graph-based security analysis</w:t>
      </w:r>
    </w:p>
    <w:p>
      <w:pPr>
        <w:spacing w:after="160" w:line="276"/>
        <w:jc w:val="both"/>
      </w:pPr>
      <w:r>
        <w:rPr>
          <w:rFonts w:ascii="Calibri" w:cs="Calibri" w:eastAsia="Calibri" w:hAnsi="Calibri"/>
          <w:b w:val="false"/>
          <w:bCs w:val="false"/>
          <w:i w:val="false"/>
          <w:iCs w:val="false"/>
          <w:sz w:val="22"/>
          <w:szCs w:val="22"/>
        </w:rPr>
        <w:t xml:space="preserve">Code Property Graphs, which unify ASTs, control-flow graphs, and program-dependence graphs for vulnerability discovery, were introduced by Yamaguchi et al. (IEEE S&amp;P 2014) and are implemented at scale in the Joern platform. Static taint analysis has a mature literature: FlowDroid established precise context-, flow-, field- and object-sensitive taint tracking for Android; Pysa (Meta) provides taint analysis for Python on the Pyre type checker; and CodeQL exposes declarative data-flow and taint-tracking libraries over a relational code representation. This project’s graph layer is deliberately lighter-weight than these systems (Section 5.3); they serve both as conceptual foundations and as evaluation baselines (Section 7).</w:t>
      </w:r>
    </w:p>
    <w:p>
      <w:pPr>
        <w:pStyle w:val="Heading2"/>
        <w:spacing w:after="120" w:before="240"/>
      </w:pPr>
      <w:r>
        <w:rPr>
          <w:rFonts w:ascii="Calibri" w:cs="Calibri" w:eastAsia="Calibri" w:hAnsi="Calibri"/>
          <w:b/>
          <w:bCs/>
          <w:color w:val="2E5395"/>
          <w:sz w:val="25"/>
          <w:szCs w:val="25"/>
        </w:rPr>
        <w:t xml:space="preserve">4.2 LLM-based and hybrid detection</w:t>
      </w:r>
    </w:p>
    <w:p>
      <w:pPr>
        <w:spacing w:after="160" w:line="276"/>
        <w:jc w:val="both"/>
      </w:pPr>
      <w:r>
        <w:rPr>
          <w:rFonts w:ascii="Calibri" w:cs="Calibri" w:eastAsia="Calibri" w:hAnsi="Calibri"/>
          <w:b w:val="false"/>
          <w:bCs w:val="false"/>
          <w:i w:val="false"/>
          <w:iCs w:val="false"/>
          <w:sz w:val="22"/>
          <w:szCs w:val="22"/>
        </w:rPr>
        <w:t xml:space="preserve">LLMxCPG (USENIX Security 2025) guides LLM vulnerability detection with CPG-derived slices, reporting 15–40% F1 improvements on verified datasets. RepoAudit (ICML 2025) performs autonomous repository-level auditing with an LLM agent. LLMDFA (NeurIPS 2024) performs LLM-driven data-flow analysis; MulVul applies retrieval-augmented multi-agent detection. Hybrid CodeQL+LLM pipelines have also been reported. None of these operate in, or evaluate on, the iterative refinement setting.</w:t>
      </w:r>
    </w:p>
    <w:p>
      <w:pPr>
        <w:pStyle w:val="Heading2"/>
        <w:spacing w:after="120" w:before="240"/>
      </w:pPr>
      <w:r>
        <w:rPr>
          <w:rFonts w:ascii="Calibri" w:cs="Calibri" w:eastAsia="Calibri" w:hAnsi="Calibri"/>
          <w:b/>
          <w:bCs/>
          <w:color w:val="2E5395"/>
          <w:sz w:val="25"/>
          <w:szCs w:val="25"/>
        </w:rPr>
        <w:t xml:space="preserve">4.3 Gap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450"/>
        <w:gridCol w:w="2450"/>
      </w:tblGrid>
      <w:tr>
        <w:tc>
          <w:tcPr>
            <w:tcW w:type="dxa" w:w="245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Work</w:t>
            </w:r>
          </w:p>
        </w:tc>
        <w:tc>
          <w:tcPr>
            <w:tcW w:type="dxa" w:w="245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Setting</w:t>
            </w:r>
          </w:p>
        </w:tc>
        <w:tc>
          <w:tcPr>
            <w:tcW w:type="dxa" w:w="245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Context used</w:t>
            </w:r>
          </w:p>
        </w:tc>
        <w:tc>
          <w:tcPr>
            <w:tcW w:type="dxa" w:w="245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 not do</w:t>
            </w:r>
          </w:p>
        </w:tc>
      </w:tr>
      <w:tr>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ISTAS 2025 (base paper 1)</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Iterative refinement, no intervention</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None (measures degradation only)</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Provides no gate; frames one as future work</w:t>
            </w:r>
          </w:p>
        </w:tc>
      </w:tr>
      <w:tr>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LLMxCPG (USENIX Sec 2025)</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Static snapshot detection</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CPG slices</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 iterative loop; no over-time measurement</w:t>
            </w:r>
          </w:p>
        </w:tc>
      </w:tr>
      <w:tr>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RepoAudit / MulVul / LLMDFA</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One-shot audit / snapshot detection</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Agentic exploration / retrieval / LLM data-flow</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Same temporal blind spot</w:t>
            </w:r>
          </w:p>
        </w:tc>
      </w:tr>
      <w:tr>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Pysa / CodeQL / FlowDroid lineage</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Static taint analysis</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Sound(er) interprocedural data flow</w:t>
            </w:r>
          </w:p>
        </w:tc>
        <w:tc>
          <w:tcPr>
            <w:tcW w:type="dxa" w:w="245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Not iteration-aware; no delta semantics; evaluated here as baselines</w:t>
            </w:r>
          </w:p>
        </w:tc>
      </w:tr>
      <w:tr>
        <w:tc>
          <w:tcPr>
            <w:tcW w:type="dxa" w:w="2450"/>
            <w:tcBorders>
              <w:top w:val="single" w:color="9CA3AF" w:sz="4"/>
              <w:left w:val="single" w:color="9CA3AF" w:sz="4"/>
              <w:bottom w:val="single" w:color="9CA3AF" w:sz="4"/>
              <w:right w:val="single" w:color="9CA3AF" w:sz="4"/>
            </w:tcBorders>
            <w:shd w:fill="E8F0FE" w:val="clear"/>
            <w:tcMar>
              <w:top w:type="dxa" w:w="80"/>
              <w:left w:type="dxa" w:w="120"/>
              <w:bottom w:type="dxa" w:w="80"/>
              <w:right w:type="dxa" w:w="120"/>
            </w:tcMar>
          </w:tcPr>
          <w:p>
            <w:pPr>
              <w:jc w:val="left"/>
            </w:pPr>
            <w:r>
              <w:rPr>
                <w:rFonts w:ascii="Calibri" w:cs="Calibri" w:eastAsia="Calibri" w:hAnsi="Calibri"/>
                <w:b/>
                <w:bCs/>
                <w:sz w:val="20"/>
                <w:szCs w:val="20"/>
              </w:rPr>
              <w:t xml:space="preserve">GraphGate (this project)</w:t>
            </w:r>
          </w:p>
        </w:tc>
        <w:tc>
          <w:tcPr>
            <w:tcW w:type="dxa" w:w="2450"/>
            <w:tcBorders>
              <w:top w:val="single" w:color="9CA3AF" w:sz="4"/>
              <w:left w:val="single" w:color="9CA3AF" w:sz="4"/>
              <w:bottom w:val="single" w:color="9CA3AF" w:sz="4"/>
              <w:right w:val="single" w:color="9CA3AF" w:sz="4"/>
            </w:tcBorders>
            <w:shd w:fill="E8F0FE"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In-loop gate across iterations</w:t>
            </w:r>
          </w:p>
        </w:tc>
        <w:tc>
          <w:tcPr>
            <w:tcW w:type="dxa" w:w="2450"/>
            <w:tcBorders>
              <w:top w:val="single" w:color="9CA3AF" w:sz="4"/>
              <w:left w:val="single" w:color="9CA3AF" w:sz="4"/>
              <w:bottom w:val="single" w:color="9CA3AF" w:sz="4"/>
              <w:right w:val="single" w:color="9CA3AF" w:sz="4"/>
            </w:tcBorders>
            <w:shd w:fill="E8F0FE"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Temporal ΔG differencing + LLM triage</w:t>
            </w:r>
          </w:p>
        </w:tc>
        <w:tc>
          <w:tcPr>
            <w:tcW w:type="dxa" w:w="2450"/>
            <w:tcBorders>
              <w:top w:val="single" w:color="9CA3AF" w:sz="4"/>
              <w:left w:val="single" w:color="9CA3AF" w:sz="4"/>
              <w:bottom w:val="single" w:color="9CA3AF" w:sz="4"/>
              <w:right w:val="single" w:color="9CA3AF" w:sz="4"/>
            </w:tcBorders>
            <w:shd w:fill="E8F0FE"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Scoped: Python, injection-class only; heuristic graph (limits stated)</w:t>
            </w:r>
          </w:p>
        </w:tc>
      </w:tr>
    </w:tbl>
    <w:p>
      <w:pPr>
        <w:spacing w:after="80" w:line="276"/>
        <w:jc w:val="both"/>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1F3864"/>
          <w:sz w:val="30"/>
          <w:szCs w:val="30"/>
        </w:rPr>
        <w:t xml:space="preserve">5. Proposed System</w:t>
      </w:r>
    </w:p>
    <w:p>
      <w:pPr>
        <w:spacing w:after="120"/>
        <w:jc w:val="center"/>
      </w:pPr>
      <w:r>
        <w:drawing>
          <wp:inline distT="0" distB="0" distL="0" distR="0">
            <wp:extent cx="6096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0005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GraphGate v2 architecture: the ΔG differencing engine is the primary detector; the LLM triages and explains flagged deltas.</w:t>
      </w:r>
    </w:p>
    <w:p>
      <w:pPr>
        <w:pStyle w:val="Heading2"/>
        <w:spacing w:after="120" w:before="240"/>
      </w:pPr>
      <w:r>
        <w:rPr>
          <w:rFonts w:ascii="Calibri" w:cs="Calibri" w:eastAsia="Calibri" w:hAnsi="Calibri"/>
          <w:b/>
          <w:bCs/>
          <w:color w:val="2E5395"/>
          <w:sz w:val="25"/>
          <w:szCs w:val="25"/>
        </w:rPr>
        <w:t xml:space="preserve">5.1 Graph definition</w:t>
      </w:r>
    </w:p>
    <w:p>
      <w:pPr>
        <w:spacing w:after="160" w:line="276"/>
        <w:jc w:val="both"/>
      </w:pPr>
      <w:r>
        <w:rPr>
          <w:rFonts w:ascii="Calibri" w:cs="Calibri" w:eastAsia="Calibri" w:hAnsi="Calibri"/>
          <w:b w:val="false"/>
          <w:bCs w:val="false"/>
          <w:i w:val="false"/>
          <w:iCs w:val="false"/>
          <w:sz w:val="22"/>
          <w:szCs w:val="22"/>
        </w:rPr>
        <w:t xml:space="preserve">We define the code graph at iteration t as G(t) = (V, E_call, E_taint, E_sanitize), where V contains function, method, and module-level symbols extracted from tree-sitter ASTs. E_call edges are resolved by (i) direct same-module calls, (ii) import-resolved cross-module calls (static import statements only), and (iii) attribute calls resolved when the receiver’s class is statically inferable; unresolved calls are recorded as unknown edges rather than silently dropped. E_taint edges connect sources (request parameters, environment reads, file/network input, CLI arguments) to downstream uses via assignment and call-argument propagation; propagation is flow-insensitive and path-insensitive at the interprocedural level. E_sanitize marks nodes matching a curated allowlist of sanitizer patterns (parameterized query constructors, escaping/encoding functions, validation wrappers), seeded from Semgrep and Pysa rule sets and extended per target repository.</w:t>
      </w:r>
    </w:p>
    <w:p>
      <w:pPr>
        <w:pStyle w:val="Heading2"/>
        <w:spacing w:after="120" w:before="240"/>
      </w:pPr>
      <w:r>
        <w:rPr>
          <w:rFonts w:ascii="Calibri" w:cs="Calibri" w:eastAsia="Calibri" w:hAnsi="Calibri"/>
          <w:b/>
          <w:bCs/>
          <w:color w:val="2E5395"/>
          <w:sz w:val="25"/>
          <w:szCs w:val="25"/>
        </w:rPr>
        <w:t xml:space="preserve">5.2 The ΔG differencing engine (primary detector)</w:t>
      </w:r>
    </w:p>
    <w:p>
      <w:pPr>
        <w:spacing w:after="100" w:line="276"/>
        <w:jc w:val="both"/>
      </w:pPr>
      <w:r>
        <w:rPr>
          <w:rFonts w:ascii="Calibri" w:cs="Calibri" w:eastAsia="Calibri" w:hAnsi="Calibri"/>
          <w:b w:val="false"/>
          <w:bCs w:val="false"/>
          <w:i w:val="false"/>
          <w:iCs w:val="false"/>
          <w:sz w:val="22"/>
          <w:szCs w:val="22"/>
        </w:rPr>
        <w:t xml:space="preserve">After each candidate revision, the system computes ΔG = G(t) − G(t−1) restricted to the neighborhood of changed symbols, and applies deterministic flag rules:</w:t>
      </w:r>
    </w:p>
    <w:p>
      <w:pPr>
        <w:pStyle w:val="ListParagraph"/>
        <w:numPr>
          <w:ilvl w:val="0"/>
          <w:numId w:val="4"/>
        </w:numPr>
        <w:spacing w:after="100" w:line="276"/>
        <w:jc w:val="both"/>
      </w:pPr>
      <w:r>
        <w:rPr>
          <w:rFonts w:ascii="Calibri" w:cs="Calibri" w:eastAsia="Calibri" w:hAnsi="Calibri"/>
          <w:sz w:val="22"/>
          <w:szCs w:val="22"/>
        </w:rPr>
        <w:t xml:space="preserve">R1 — Sanitizer removal: a node in E_sanitize present in G(t−1) is absent or bypassed in G(t) while its callers remain.</w:t>
      </w:r>
    </w:p>
    <w:p>
      <w:pPr>
        <w:pStyle w:val="ListParagraph"/>
        <w:numPr>
          <w:ilvl w:val="0"/>
          <w:numId w:val="4"/>
        </w:numPr>
        <w:spacing w:after="100" w:line="276"/>
        <w:jc w:val="both"/>
      </w:pPr>
      <w:r>
        <w:rPr>
          <w:rFonts w:ascii="Calibri" w:cs="Calibri" w:eastAsia="Calibri" w:hAnsi="Calibri"/>
          <w:sz w:val="22"/>
          <w:szCs w:val="22"/>
        </w:rPr>
        <w:t xml:space="preserve">R2 — New source→sink path: a source-to-sink path exists in G(t) that did not exist in G(t−1).</w:t>
      </w:r>
    </w:p>
    <w:p>
      <w:pPr>
        <w:pStyle w:val="ListParagraph"/>
        <w:numPr>
          <w:ilvl w:val="0"/>
          <w:numId w:val="4"/>
        </w:numPr>
        <w:spacing w:after="100" w:line="276"/>
        <w:jc w:val="both"/>
      </w:pPr>
      <w:r>
        <w:rPr>
          <w:rFonts w:ascii="Calibri" w:cs="Calibri" w:eastAsia="Calibri" w:hAnsi="Calibri"/>
          <w:sz w:val="22"/>
          <w:szCs w:val="22"/>
        </w:rPr>
        <w:t xml:space="preserve">R3 — Guard elimination: a validation/guard edge on an existing source→sink path disappears.</w:t>
      </w:r>
    </w:p>
    <w:p>
      <w:pPr>
        <w:pStyle w:val="ListParagraph"/>
        <w:numPr>
          <w:ilvl w:val="0"/>
          <w:numId w:val="4"/>
        </w:numPr>
        <w:spacing w:after="100" w:line="276"/>
        <w:jc w:val="both"/>
      </w:pPr>
      <w:r>
        <w:rPr>
          <w:rFonts w:ascii="Calibri" w:cs="Calibri" w:eastAsia="Calibri" w:hAnsi="Calibri"/>
          <w:sz w:val="22"/>
          <w:szCs w:val="22"/>
        </w:rPr>
        <w:t xml:space="preserve">R4 — Path shortening: the minimum sanitizer-free hop distance from a source to a sink decreases.</w:t>
      </w:r>
    </w:p>
    <w:p>
      <w:pPr>
        <w:spacing w:after="160" w:line="276"/>
        <w:jc w:val="both"/>
      </w:pPr>
      <w:r>
        <w:rPr>
          <w:rFonts w:ascii="Calibri" w:cs="Calibri" w:eastAsia="Calibri" w:hAnsi="Calibri"/>
          <w:b w:val="false"/>
          <w:bCs w:val="false"/>
          <w:i w:val="false"/>
          <w:iCs w:val="false"/>
          <w:sz w:val="22"/>
          <w:szCs w:val="22"/>
        </w:rPr>
        <w:t xml:space="preserve">Flagged deltas, with their supporting subgraphs, are passed to an LLM triage step that classifies each flag as exploitable-regression / benign-refactor / uncertain and produces a developer-facing rationale. Restricting the LLM to triage of deterministic flags, rather than open-ended detection over retrieved context, reduces hallucination surface and makes the detector unit-testable.</w:t>
      </w:r>
    </w:p>
    <w:p>
      <w:pPr>
        <w:pStyle w:val="Heading2"/>
        <w:spacing w:after="120" w:before="240"/>
      </w:pPr>
      <w:r>
        <w:rPr>
          <w:rFonts w:ascii="Calibri" w:cs="Calibri" w:eastAsia="Calibri" w:hAnsi="Calibri"/>
          <w:b/>
          <w:bCs/>
          <w:color w:val="2E5395"/>
          <w:sz w:val="25"/>
          <w:szCs w:val="25"/>
        </w:rPr>
        <w:t xml:space="preserve">5.3 Stated limitations of the graph (by design)</w:t>
      </w:r>
    </w:p>
    <w:p>
      <w:pPr>
        <w:spacing w:after="160" w:line="276"/>
        <w:jc w:val="both"/>
      </w:pPr>
      <w:r>
        <w:rPr>
          <w:rFonts w:ascii="Calibri" w:cs="Calibri" w:eastAsia="Calibri" w:hAnsi="Calibri"/>
          <w:b w:val="false"/>
          <w:bCs w:val="false"/>
          <w:i w:val="false"/>
          <w:iCs w:val="false"/>
          <w:sz w:val="22"/>
          <w:szCs w:val="22"/>
        </w:rPr>
        <w:t xml:space="preserve">Python is highly dynamic. The graph does not model monkey-patching, reflection (getattr with dynamic names), decorators that rewrite call semantics, framework-generated routing, or ORM-internal query construction beyond the sanitizer allowlist. Aliasing is handled only through direct assignment chains. Consequently, results should be interpreted as evaluating the utility of practical, lightweight graph-grounded differencing in the refinement loop, not as a sound interprocedural analysis. Unknown-edge counts are reported per repository as a transparency metric, and the error analysis (Section 7.4) categorizes misses attributable to these dynamic features.</w:t>
      </w:r>
    </w:p>
    <w:p>
      <w:pPr>
        <w:pStyle w:val="Heading2"/>
        <w:spacing w:after="120" w:before="240"/>
      </w:pPr>
      <w:r>
        <w:rPr>
          <w:rFonts w:ascii="Calibri" w:cs="Calibri" w:eastAsia="Calibri" w:hAnsi="Calibri"/>
          <w:b/>
          <w:bCs/>
          <w:color w:val="2E5395"/>
          <w:sz w:val="25"/>
          <w:szCs w:val="25"/>
        </w:rPr>
        <w:t xml:space="preserve">5.4 Scope constraints</w:t>
      </w:r>
    </w:p>
    <w:p>
      <w:pPr>
        <w:pStyle w:val="ListParagraph"/>
        <w:numPr>
          <w:ilvl w:val="0"/>
          <w:numId w:val="2"/>
        </w:numPr>
        <w:spacing w:after="100" w:line="276"/>
        <w:jc w:val="both"/>
      </w:pPr>
      <w:r>
        <w:rPr>
          <w:rFonts w:ascii="Calibri" w:cs="Calibri" w:eastAsia="Calibri" w:hAnsi="Calibri"/>
          <w:sz w:val="22"/>
          <w:szCs w:val="22"/>
        </w:rPr>
        <w:t xml:space="preserve">One language: Python (mature tree-sitter grammar, Bandit/Semgrep/Pysa coverage, abundant CVE data).</w:t>
      </w:r>
    </w:p>
    <w:p>
      <w:pPr>
        <w:pStyle w:val="ListParagraph"/>
        <w:numPr>
          <w:ilvl w:val="0"/>
          <w:numId w:val="2"/>
        </w:numPr>
        <w:spacing w:after="100" w:line="276"/>
        <w:jc w:val="both"/>
      </w:pPr>
      <w:r>
        <w:rPr>
          <w:rFonts w:ascii="Calibri" w:cs="Calibri" w:eastAsia="Calibri" w:hAnsi="Calibri"/>
          <w:sz w:val="22"/>
          <w:szCs w:val="22"/>
        </w:rPr>
        <w:t xml:space="preserve">One vulnerability family: injection-class flaws (SQL/command/path injection, missing-sanitization patterns), the canonical cross-file taint case.</w:t>
      </w:r>
    </w:p>
    <w:p>
      <w:pPr>
        <w:pStyle w:val="ListParagraph"/>
        <w:numPr>
          <w:ilvl w:val="0"/>
          <w:numId w:val="2"/>
        </w:numPr>
        <w:spacing w:after="100" w:line="276"/>
        <w:jc w:val="both"/>
      </w:pPr>
      <w:r>
        <w:rPr>
          <w:rFonts w:ascii="Calibri" w:cs="Calibri" w:eastAsia="Calibri" w:hAnsi="Calibri"/>
          <w:sz w:val="22"/>
          <w:szCs w:val="22"/>
        </w:rPr>
        <w:t xml:space="preserve">Bounded delta computation: default 2-hop neighborhood around changed symbols, with hop depth treated as an ablation variable (Section 7.3) rather than an assumption.</w:t>
      </w:r>
    </w:p>
    <w:p>
      <w:pPr>
        <w:pStyle w:val="Heading1"/>
        <w:spacing w:after="160" w:before="320"/>
      </w:pPr>
      <w:r>
        <w:rPr>
          <w:rFonts w:ascii="Calibri" w:cs="Calibri" w:eastAsia="Calibri" w:hAnsi="Calibri"/>
          <w:b/>
          <w:bCs/>
          <w:color w:val="1F3864"/>
          <w:sz w:val="30"/>
          <w:szCs w:val="30"/>
        </w:rPr>
        <w:t xml:space="preserve">6. Dataset Construction</w:t>
      </w:r>
    </w:p>
    <w:p>
      <w:pPr>
        <w:pStyle w:val="Heading2"/>
        <w:spacing w:after="120" w:before="240"/>
      </w:pPr>
      <w:r>
        <w:rPr>
          <w:rFonts w:ascii="Calibri" w:cs="Calibri" w:eastAsia="Calibri" w:hAnsi="Calibri"/>
          <w:b/>
          <w:bCs/>
          <w:color w:val="2E5395"/>
          <w:sz w:val="25"/>
          <w:szCs w:val="25"/>
        </w:rPr>
        <w:t xml:space="preserve">6.1 Controlled benchmark (primary)</w:t>
      </w:r>
    </w:p>
    <w:p>
      <w:pPr>
        <w:pStyle w:val="ListParagraph"/>
        <w:numPr>
          <w:ilvl w:val="0"/>
          <w:numId w:val="5"/>
        </w:numPr>
        <w:spacing w:after="100" w:line="276"/>
        <w:jc w:val="both"/>
      </w:pPr>
      <w:r>
        <w:rPr>
          <w:rFonts w:ascii="Calibri" w:cs="Calibri" w:eastAsia="Calibri" w:hAnsi="Calibri"/>
          <w:sz w:val="22"/>
          <w:szCs w:val="22"/>
        </w:rPr>
        <w:t xml:space="preserve">Seed repositories: 8–12 mid-sized open-source Python projects (5k–50k LOC) with permissive licenses (MIT/Apache-2.0/BSD); license compliance is verified before any trace redistribution.</w:t>
      </w:r>
    </w:p>
    <w:p>
      <w:pPr>
        <w:pStyle w:val="ListParagraph"/>
        <w:numPr>
          <w:ilvl w:val="0"/>
          <w:numId w:val="5"/>
        </w:numPr>
        <w:spacing w:after="100" w:line="276"/>
        <w:jc w:val="both"/>
      </w:pPr>
      <w:r>
        <w:rPr>
          <w:rFonts w:ascii="Calibri" w:cs="Calibri" w:eastAsia="Calibri" w:hAnsi="Calibri"/>
          <w:sz w:val="22"/>
          <w:szCs w:val="22"/>
        </w:rPr>
        <w:t xml:space="preserve">Ground-truth regressions: mine CVE fix commits for injection-class vulnerabilities in Python projects (CVEfixes and public advisories). Each verified vulnerable→fixed pair, inverted, yields an expert-confirmed regression. Target: 40–60 high-quality regression events, of which 15–25 are cross-file, prioritizing validation quality over volume.</w:t>
      </w:r>
    </w:p>
    <w:p>
      <w:pPr>
        <w:pStyle w:val="ListParagraph"/>
        <w:numPr>
          <w:ilvl w:val="0"/>
          <w:numId w:val="5"/>
        </w:numPr>
        <w:spacing w:after="100" w:line="276"/>
        <w:jc w:val="both"/>
      </w:pPr>
      <w:r>
        <w:rPr>
          <w:rFonts w:ascii="Calibri" w:cs="Calibri" w:eastAsia="Calibri" w:hAnsi="Calibri"/>
          <w:sz w:val="22"/>
          <w:szCs w:val="22"/>
        </w:rPr>
        <w:t xml:space="preserve">Trace synthesis: refinement traces of 5–8 turns per scenario following the ISTAS 2025 prompt protocol; regressions are injected into randomized turns, including cross-file variants where the sanitizer is weakened in one file while the vulnerable call site resides in another.</w:t>
      </w:r>
    </w:p>
    <w:p>
      <w:pPr>
        <w:pStyle w:val="ListParagraph"/>
        <w:numPr>
          <w:ilvl w:val="0"/>
          <w:numId w:val="5"/>
        </w:numPr>
        <w:spacing w:after="100" w:line="276"/>
        <w:jc w:val="both"/>
      </w:pPr>
      <w:r>
        <w:rPr>
          <w:rFonts w:ascii="Calibri" w:cs="Calibri" w:eastAsia="Calibri" w:hAnsi="Calibri"/>
          <w:sz w:val="22"/>
          <w:szCs w:val="22"/>
        </w:rPr>
        <w:t xml:space="preserve">Labels: every turn is labeled {clean, local regression, cross-file regression}, giving exact ground truth for RQ2.</w:t>
      </w:r>
    </w:p>
    <w:p>
      <w:pPr>
        <w:pStyle w:val="Heading2"/>
        <w:spacing w:after="120" w:before="240"/>
      </w:pPr>
      <w:r>
        <w:rPr>
          <w:rFonts w:ascii="Calibri" w:cs="Calibri" w:eastAsia="Calibri" w:hAnsi="Calibri"/>
          <w:b/>
          <w:bCs/>
          <w:color w:val="2E5395"/>
          <w:sz w:val="25"/>
          <w:szCs w:val="25"/>
        </w:rPr>
        <w:t xml:space="preserve">6.2 Real-session holdout set (external validity)</w:t>
      </w:r>
    </w:p>
    <w:p>
      <w:pPr>
        <w:spacing w:after="160" w:line="276"/>
        <w:jc w:val="both"/>
      </w:pPr>
      <w:r>
        <w:rPr>
          <w:rFonts w:ascii="Calibri" w:cs="Calibri" w:eastAsia="Calibri" w:hAnsi="Calibri"/>
          <w:b w:val="false"/>
          <w:bCs w:val="false"/>
          <w:i w:val="false"/>
          <w:iCs w:val="false"/>
          <w:sz w:val="22"/>
          <w:szCs w:val="22"/>
        </w:rPr>
        <w:t xml:space="preserve">Synthetic traces may differ from naturally occurring LLM refinement behavior. To address this directly, we additionally collect 10–20 real multi-turn sessions: a function with known security-relevant structure is given to a code LLM with natural refinement requests over five turns, and all naturally occurring regressions are identified by manual review (two-pass, with disagreements adjudicated). This holdout set is never used for development or tuning; performance on it is reported separately from the controlled benchmark.</w:t>
      </w:r>
    </w:p>
    <w:p>
      <w:pPr>
        <w:pStyle w:val="Heading2"/>
        <w:spacing w:after="120" w:before="240"/>
      </w:pPr>
      <w:r>
        <w:rPr>
          <w:rFonts w:ascii="Calibri" w:cs="Calibri" w:eastAsia="Calibri" w:hAnsi="Calibri"/>
          <w:b/>
          <w:bCs/>
          <w:color w:val="2E5395"/>
          <w:sz w:val="25"/>
          <w:szCs w:val="25"/>
        </w:rPr>
        <w:t xml:space="preserve">6.3 Sampling design and leakage control</w:t>
      </w:r>
    </w:p>
    <w:p>
      <w:pPr>
        <w:spacing w:after="160" w:line="276"/>
        <w:jc w:val="both"/>
      </w:pPr>
      <w:r>
        <w:rPr>
          <w:rFonts w:ascii="Calibri" w:cs="Calibri" w:eastAsia="Calibri" w:hAnsi="Calibri"/>
          <w:b w:val="false"/>
          <w:bCs w:val="false"/>
          <w:i w:val="false"/>
          <w:iCs w:val="false"/>
          <w:sz w:val="22"/>
          <w:szCs w:val="22"/>
        </w:rPr>
        <w:t xml:space="preserve">Cross-file regressions are deliberately oversampled (~40% of events) to obtain statistical power on the hard subset; this is a measurement-design choice, not a prevalence claim, and we additionally report results reweighted to an estimated natural prevalence. To prevent retrieval leakage, we verify that injected vulnerable patterns do not appear elsewhere in the repository, and where duplicates exist they are excluded from the graph’s retrieval scope during evaluation.</w:t>
      </w:r>
    </w:p>
    <w:p>
      <w:pPr>
        <w:pStyle w:val="Heading1"/>
        <w:spacing w:after="160" w:before="320"/>
      </w:pPr>
      <w:r>
        <w:rPr>
          <w:rFonts w:ascii="Calibri" w:cs="Calibri" w:eastAsia="Calibri" w:hAnsi="Calibri"/>
          <w:b/>
          <w:bCs/>
          <w:color w:val="1F3864"/>
          <w:sz w:val="30"/>
          <w:szCs w:val="30"/>
        </w:rPr>
        <w:t xml:space="preserve">7. Evaluation Design</w:t>
      </w:r>
    </w:p>
    <w:p>
      <w:pPr>
        <w:pStyle w:val="Heading2"/>
        <w:spacing w:after="120" w:before="240"/>
      </w:pPr>
      <w:r>
        <w:rPr>
          <w:rFonts w:ascii="Calibri" w:cs="Calibri" w:eastAsia="Calibri" w:hAnsi="Calibri"/>
          <w:b/>
          <w:bCs/>
          <w:color w:val="2E5395"/>
          <w:sz w:val="25"/>
          <w:szCs w:val="25"/>
        </w:rPr>
        <w:t xml:space="preserve">7.1 Gate conditions and baselines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700"/>
      </w:tblGrid>
      <w:tr>
        <w:tc>
          <w:tcPr>
            <w:tcW w:type="dxa" w:w="17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Condition / baseline</w:t>
            </w:r>
          </w:p>
        </w:tc>
        <w:tc>
          <w:tcPr>
            <w:tcW w:type="dxa" w:w="44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Configuration</w:t>
            </w:r>
          </w:p>
        </w:tc>
        <w:tc>
          <w:tcPr>
            <w:tcW w:type="dxa" w:w="37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establishes</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A — No gate</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Refinement loop unimpeded (ISTAS 2025 replication)</w:t>
            </w:r>
          </w:p>
        </w:tc>
        <w:tc>
          <w:tcPr>
            <w:tcW w:type="dxa" w:w="3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Baseline degradation curve; harness validation</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B — Local gate</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Semgrep/Bandit + LLM triage, diff context only</w:t>
            </w:r>
          </w:p>
        </w:tc>
        <w:tc>
          <w:tcPr>
            <w:tcW w:type="dxa" w:w="3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Value of a conventional in-loop check</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C — GraphGate</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 + ΔG differencing engine with graph context</w:t>
            </w:r>
          </w:p>
        </w:tc>
        <w:tc>
          <w:tcPr>
            <w:tcW w:type="dxa" w:w="3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Marginal value of temporal graph grounding (RQ1/RQ2)</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S1 — Pysa only</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Pysa taint analysis run per iteration, no LLM</w:t>
            </w:r>
          </w:p>
        </w:tc>
        <w:tc>
          <w:tcPr>
            <w:tcW w:type="dxa" w:w="3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Does the system beat mature static taint analysis? (RQ3)</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S2 — CodeQL only</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CodeQL injection queries per iteration, no LLM (secondary, license permitting)</w:t>
            </w:r>
          </w:p>
        </w:tc>
        <w:tc>
          <w:tcPr>
            <w:tcW w:type="dxa" w:w="3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Second static baseline for robustness of RQ3</w:t>
            </w:r>
          </w:p>
        </w:tc>
      </w:tr>
    </w:tbl>
    <w:p>
      <w:pPr>
        <w:spacing w:after="120" w:line="276"/>
        <w:jc w:val="both"/>
      </w:pPr>
      <w:r>
        <w:rPr>
          <w:rFonts w:ascii="Calibri" w:cs="Calibri" w:eastAsia="Calibri" w:hAnsi="Calibri"/>
          <w:b w:val="false"/>
          <w:bCs w:val="false"/>
          <w:i w:val="false"/>
          <w:iCs w:val="false"/>
          <w:sz w:val="22"/>
          <w:szCs w:val="22"/>
        </w:rPr>
        <w:t xml:space="preserve">All gate conditions replay identical traces; the manipulated variable is the gate’s context and detector. This isolates the causal contribution of graph grounding.</w:t>
      </w:r>
    </w:p>
    <w:p>
      <w:pPr>
        <w:pStyle w:val="Heading2"/>
        <w:spacing w:after="120" w:before="240"/>
      </w:pPr>
      <w:r>
        <w:rPr>
          <w:rFonts w:ascii="Calibri" w:cs="Calibri" w:eastAsia="Calibri" w:hAnsi="Calibri"/>
          <w:b/>
          <w:bCs/>
          <w:color w:val="2E5395"/>
          <w:sz w:val="25"/>
          <w:szCs w:val="25"/>
        </w:rPr>
        <w:t xml:space="preserve">7.2 Metrics</w:t>
      </w:r>
    </w:p>
    <w:p>
      <w:pPr>
        <w:pStyle w:val="ListParagraph"/>
        <w:numPr>
          <w:ilvl w:val="0"/>
          <w:numId w:val="2"/>
        </w:numPr>
        <w:spacing w:after="100" w:line="276"/>
        <w:jc w:val="both"/>
      </w:pPr>
      <w:r>
        <w:rPr>
          <w:rFonts w:ascii="Calibri" w:cs="Calibri" w:eastAsia="Calibri" w:hAnsi="Calibri"/>
          <w:sz w:val="22"/>
          <w:szCs w:val="22"/>
        </w:rPr>
        <w:t xml:space="preserve">Degradation curve: cumulative ground-truth-verified critical/high regressions surviving per iteration, per condition.</w:t>
      </w:r>
    </w:p>
    <w:p>
      <w:pPr>
        <w:pStyle w:val="ListParagraph"/>
        <w:numPr>
          <w:ilvl w:val="0"/>
          <w:numId w:val="2"/>
        </w:numPr>
        <w:spacing w:after="100" w:line="276"/>
        <w:jc w:val="both"/>
      </w:pPr>
      <w:r>
        <w:rPr>
          <w:rFonts w:ascii="Calibri" w:cs="Calibri" w:eastAsia="Calibri" w:hAnsi="Calibri"/>
          <w:sz w:val="22"/>
          <w:szCs w:val="22"/>
        </w:rPr>
        <w:t xml:space="preserve">Cross-file recall: detection rate on the cross-file subset, where Condition B is structurally handicapped (RQ2).</w:t>
      </w:r>
    </w:p>
    <w:p>
      <w:pPr>
        <w:pStyle w:val="ListParagraph"/>
        <w:numPr>
          <w:ilvl w:val="0"/>
          <w:numId w:val="2"/>
        </w:numPr>
        <w:spacing w:after="100" w:line="276"/>
        <w:jc w:val="both"/>
      </w:pPr>
      <w:r>
        <w:rPr>
          <w:rFonts w:ascii="Calibri" w:cs="Calibri" w:eastAsia="Calibri" w:hAnsi="Calibri"/>
          <w:sz w:val="22"/>
          <w:szCs w:val="22"/>
        </w:rPr>
        <w:t xml:space="preserve">Iterations-to-detection: mean number of turns between a regression’s introduction and its first detection; a gate that flags three turns late is materially less useful than one that flags immediately.</w:t>
      </w:r>
    </w:p>
    <w:p>
      <w:pPr>
        <w:pStyle w:val="ListParagraph"/>
        <w:numPr>
          <w:ilvl w:val="0"/>
          <w:numId w:val="2"/>
        </w:numPr>
        <w:spacing w:after="100" w:line="276"/>
        <w:jc w:val="both"/>
      </w:pPr>
      <w:r>
        <w:rPr>
          <w:rFonts w:ascii="Calibri" w:cs="Calibri" w:eastAsia="Calibri" w:hAnsi="Calibri"/>
          <w:sz w:val="22"/>
          <w:szCs w:val="22"/>
        </w:rPr>
        <w:t xml:space="preserve">Precision / false-positive burden: fraction of BLOCK decisions on clean turns.</w:t>
      </w:r>
    </w:p>
    <w:p>
      <w:pPr>
        <w:pStyle w:val="ListParagraph"/>
        <w:numPr>
          <w:ilvl w:val="0"/>
          <w:numId w:val="2"/>
        </w:numPr>
        <w:spacing w:after="100" w:line="276"/>
        <w:jc w:val="both"/>
      </w:pPr>
      <w:r>
        <w:rPr>
          <w:rFonts w:ascii="Calibri" w:cs="Calibri" w:eastAsia="Calibri" w:hAnsi="Calibri"/>
          <w:sz w:val="22"/>
          <w:szCs w:val="22"/>
        </w:rPr>
        <w:t xml:space="preserve">Overhead: median added latency, LLM tokens, and estimated API cost per iteration, per condition.</w:t>
      </w:r>
    </w:p>
    <w:p>
      <w:pPr>
        <w:pStyle w:val="ListParagraph"/>
        <w:numPr>
          <w:ilvl w:val="0"/>
          <w:numId w:val="2"/>
        </w:numPr>
        <w:spacing w:after="100" w:line="276"/>
        <w:jc w:val="both"/>
      </w:pPr>
      <w:r>
        <w:rPr>
          <w:rFonts w:ascii="Calibri" w:cs="Calibri" w:eastAsia="Calibri" w:hAnsi="Calibri"/>
          <w:sz w:val="22"/>
          <w:szCs w:val="22"/>
        </w:rPr>
        <w:t xml:space="preserve">Statistics: multiple seeds per trace; mean with confidence intervals; paired Wilcoxon signed-rank tests between B and C (and C vs. S1) on per-trace recall; effect sizes reported alongside p-values.</w:t>
      </w:r>
    </w:p>
    <w:p>
      <w:pPr>
        <w:pStyle w:val="Heading2"/>
        <w:spacing w:after="120" w:before="240"/>
      </w:pPr>
      <w:r>
        <w:rPr>
          <w:rFonts w:ascii="Calibri" w:cs="Calibri" w:eastAsia="Calibri" w:hAnsi="Calibri"/>
          <w:b/>
          <w:bCs/>
          <w:color w:val="2E5395"/>
          <w:sz w:val="25"/>
          <w:szCs w:val="25"/>
        </w:rPr>
        <w:t xml:space="preserve">7.3 Ablation study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Variant</w:t>
            </w:r>
          </w:p>
        </w:tc>
        <w:tc>
          <w:tcPr>
            <w:tcW w:type="dxa" w:w="68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Question answered</w:t>
            </w:r>
          </w:p>
        </w:tc>
      </w:tr>
      <w:tr>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Call graph only (no taint edges)</w:t>
            </w:r>
          </w:p>
        </w:tc>
        <w:tc>
          <w:tcPr>
            <w:tcW w:type="dxa" w:w="6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Does structural call context alone help?</w:t>
            </w:r>
          </w:p>
        </w:tc>
      </w:tr>
      <w:tr>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Taint edges only (no call graph)</w:t>
            </w:r>
          </w:p>
        </w:tc>
        <w:tc>
          <w:tcPr>
            <w:tcW w:type="dxa" w:w="6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Does data-flow information alone help?</w:t>
            </w:r>
          </w:p>
        </w:tc>
      </w:tr>
      <w:tr>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Full ΔG (both)</w:t>
            </w:r>
          </w:p>
        </w:tc>
        <w:tc>
          <w:tcPr>
            <w:tcW w:type="dxa" w:w="6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Combined effect; interaction between components</w:t>
            </w:r>
          </w:p>
        </w:tc>
      </w:tr>
      <w:tr>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Hop depth 1 / 2 / 3</w:t>
            </w:r>
          </w:p>
        </w:tc>
        <w:tc>
          <w:tcPr>
            <w:tcW w:type="dxa" w:w="6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Sensitivity of recall and cost to retrieval depth; justifies the default</w:t>
            </w:r>
          </w:p>
        </w:tc>
      </w:tr>
      <w:tr>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ΔG rules without LLM triage</w:t>
            </w:r>
          </w:p>
        </w:tc>
        <w:tc>
          <w:tcPr>
            <w:tcW w:type="dxa" w:w="6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How much of the benefit is deterministic rules vs. LLM judgment?</w:t>
            </w:r>
          </w:p>
        </w:tc>
      </w:tr>
    </w:tbl>
    <w:p>
      <w:pPr>
        <w:spacing w:after="80" w:line="276"/>
        <w:jc w:val="both"/>
      </w:pPr>
      <w:r>
        <w:rPr>
          <w:rFonts w:ascii="Calibri" w:cs="Calibri" w:eastAsia="Calibri" w:hAnsi="Calibri"/>
          <w:b w:val="false"/>
          <w:bCs w:val="false"/>
          <w:i w:val="false"/>
          <w:iCs w:val="false"/>
          <w:sz w:val="22"/>
          <w:szCs w:val="22"/>
        </w:rPr>
        <w:t xml:space="preserve"/>
      </w:r>
    </w:p>
    <w:p>
      <w:pPr>
        <w:pStyle w:val="Heading2"/>
        <w:spacing w:after="120" w:before="240"/>
      </w:pPr>
      <w:r>
        <w:rPr>
          <w:rFonts w:ascii="Calibri" w:cs="Calibri" w:eastAsia="Calibri" w:hAnsi="Calibri"/>
          <w:b/>
          <w:bCs/>
          <w:color w:val="2E5395"/>
          <w:sz w:val="25"/>
          <w:szCs w:val="25"/>
        </w:rPr>
        <w:t xml:space="preserve">7.4 Error analysis and generalization</w:t>
      </w:r>
    </w:p>
    <w:p>
      <w:pPr>
        <w:pStyle w:val="ListParagraph"/>
        <w:numPr>
          <w:ilvl w:val="0"/>
          <w:numId w:val="2"/>
        </w:numPr>
        <w:spacing w:after="100" w:line="276"/>
        <w:jc w:val="both"/>
      </w:pPr>
      <w:r>
        <w:rPr>
          <w:rFonts w:ascii="Calibri" w:cs="Calibri" w:eastAsia="Calibri" w:hAnsi="Calibri"/>
          <w:sz w:val="22"/>
          <w:szCs w:val="22"/>
        </w:rPr>
        <w:t xml:space="preserve">False negatives are manually categorized by cause: sanitizer aliasing, dynamic imports, reflection, decorator effects, framework-specific flows, and rule-coverage gaps.</w:t>
      </w:r>
    </w:p>
    <w:p>
      <w:pPr>
        <w:pStyle w:val="ListParagraph"/>
        <w:numPr>
          <w:ilvl w:val="0"/>
          <w:numId w:val="2"/>
        </w:numPr>
        <w:spacing w:after="100" w:line="276"/>
        <w:jc w:val="both"/>
      </w:pPr>
      <w:r>
        <w:rPr>
          <w:rFonts w:ascii="Calibri" w:cs="Calibri" w:eastAsia="Calibri" w:hAnsi="Calibri"/>
          <w:sz w:val="22"/>
          <w:szCs w:val="22"/>
        </w:rPr>
        <w:t xml:space="preserve">Generalization: evaluation uses repository-level holdout — entire repositories (not just traces) are held out from any rule tuning or sanitizer-allowlist curation.</w:t>
      </w:r>
    </w:p>
    <w:p>
      <w:pPr>
        <w:pStyle w:val="Heading2"/>
        <w:spacing w:after="120" w:before="240"/>
      </w:pPr>
      <w:r>
        <w:rPr>
          <w:rFonts w:ascii="Calibri" w:cs="Calibri" w:eastAsia="Calibri" w:hAnsi="Calibri"/>
          <w:b/>
          <w:bCs/>
          <w:color w:val="2E5395"/>
          <w:sz w:val="25"/>
          <w:szCs w:val="25"/>
        </w:rPr>
        <w:t xml:space="preserve">7.5 Success criteria</w:t>
      </w:r>
    </w:p>
    <w:p>
      <w:pPr>
        <w:spacing w:after="160" w:line="276"/>
        <w:jc w:val="both"/>
      </w:pPr>
      <w:r>
        <w:rPr>
          <w:rFonts w:ascii="Calibri" w:cs="Calibri" w:eastAsia="Calibri" w:hAnsi="Calibri"/>
          <w:b w:val="false"/>
          <w:bCs w:val="false"/>
          <w:i w:val="false"/>
          <w:iCs w:val="false"/>
          <w:sz w:val="22"/>
          <w:szCs w:val="22"/>
        </w:rPr>
        <w:t xml:space="preserve">The project succeeds if (i) Condition A reproduces a degradation trend consistent with the base paper; (ii) Condition C shows a statistically significant improvement in cross-file recall over Condition B, and is at least competitive with S1 while providing rationales and in-loop feedback that static tools do not; and (iii) Condition C’s false-positive rate remains below ~15% with median added latency below ~10 s per iteration in the CI setting. A null result on (ii) remains reportable as a rigorous negative finding given the controlled design.</w:t>
      </w:r>
    </w:p>
    <w:p>
      <w:pPr>
        <w:pStyle w:val="Heading1"/>
        <w:spacing w:after="160" w:before="320"/>
      </w:pPr>
      <w:r>
        <w:rPr>
          <w:rFonts w:ascii="Calibri" w:cs="Calibri" w:eastAsia="Calibri" w:hAnsi="Calibri"/>
          <w:b/>
          <w:bCs/>
          <w:color w:val="1F3864"/>
          <w:sz w:val="30"/>
          <w:szCs w:val="30"/>
        </w:rPr>
        <w:t xml:space="preserve">8. Threats to Validity</w:t>
      </w:r>
    </w:p>
    <w:p>
      <w:pPr>
        <w:pStyle w:val="ListParagraph"/>
        <w:numPr>
          <w:ilvl w:val="0"/>
          <w:numId w:val="2"/>
        </w:numPr>
        <w:spacing w:after="100" w:line="276"/>
        <w:jc w:val="both"/>
      </w:pPr>
      <w:r>
        <w:rPr>
          <w:rFonts w:ascii="Calibri" w:cs="Calibri" w:eastAsia="Calibri" w:hAnsi="Calibri"/>
          <w:b/>
          <w:bCs/>
          <w:sz w:val="22"/>
          <w:szCs w:val="22"/>
        </w:rPr>
        <w:t xml:space="preserve">Construct validity. </w:t>
      </w:r>
      <w:r>
        <w:rPr>
          <w:rFonts w:ascii="Calibri" w:cs="Calibri" w:eastAsia="Calibri" w:hAnsi="Calibri"/>
          <w:sz w:val="22"/>
          <w:szCs w:val="22"/>
        </w:rPr>
        <w:t xml:space="preserve">“Security regression” is operationalized via CVE-fix inversion and ΔG rule coverage; both may miss vulnerability classes outside the injection family. We mitigate by restricting all claims to the injection scope and reporting rule coverage explicitly.</w:t>
      </w:r>
    </w:p>
    <w:p>
      <w:pPr>
        <w:pStyle w:val="ListParagraph"/>
        <w:numPr>
          <w:ilvl w:val="0"/>
          <w:numId w:val="2"/>
        </w:numPr>
        <w:spacing w:after="100" w:line="276"/>
        <w:jc w:val="both"/>
      </w:pPr>
      <w:r>
        <w:rPr>
          <w:rFonts w:ascii="Calibri" w:cs="Calibri" w:eastAsia="Calibri" w:hAnsi="Calibri"/>
          <w:b/>
          <w:bCs/>
          <w:sz w:val="22"/>
          <w:szCs w:val="22"/>
        </w:rPr>
        <w:t xml:space="preserve">Internal validity. </w:t>
      </w:r>
      <w:r>
        <w:rPr>
          <w:rFonts w:ascii="Calibri" w:cs="Calibri" w:eastAsia="Calibri" w:hAnsi="Calibri"/>
          <w:sz w:val="22"/>
          <w:szCs w:val="22"/>
        </w:rPr>
        <w:t xml:space="preserve">LLM nondeterminism could confound condition comparisons; we mitigate with deterministic trace replay, fixed decoding temperature, multiple seeds, response caching, and paired statistical tests.</w:t>
      </w:r>
    </w:p>
    <w:p>
      <w:pPr>
        <w:pStyle w:val="ListParagraph"/>
        <w:numPr>
          <w:ilvl w:val="0"/>
          <w:numId w:val="2"/>
        </w:numPr>
        <w:spacing w:after="100" w:line="276"/>
        <w:jc w:val="both"/>
      </w:pPr>
      <w:r>
        <w:rPr>
          <w:rFonts w:ascii="Calibri" w:cs="Calibri" w:eastAsia="Calibri" w:hAnsi="Calibri"/>
          <w:b/>
          <w:bCs/>
          <w:sz w:val="22"/>
          <w:szCs w:val="22"/>
        </w:rPr>
        <w:t xml:space="preserve">External validity. </w:t>
      </w:r>
      <w:r>
        <w:rPr>
          <w:rFonts w:ascii="Calibri" w:cs="Calibri" w:eastAsia="Calibri" w:hAnsi="Calibri"/>
          <w:sz w:val="22"/>
          <w:szCs w:val="22"/>
        </w:rPr>
        <w:t xml:space="preserve">The benchmark is constructed from CVE fix inversions and synthetic refinement prompts, which may not perfectly reflect naturally occurring LLM refinement behavior. We mitigate by evaluating on a holdout set of real multi-turn refinement sessions and reporting its results separately. Additionally, our graph analysis is intentionally lightweight and may miss dynamic Python behaviors (reflection, monkey-patching, framework-generated call paths); results should be interpreted as evaluating practical graph-grounded differencing rather than a sound interprocedural analysis.</w:t>
      </w:r>
    </w:p>
    <w:p>
      <w:pPr>
        <w:pStyle w:val="ListParagraph"/>
        <w:numPr>
          <w:ilvl w:val="0"/>
          <w:numId w:val="2"/>
        </w:numPr>
        <w:spacing w:after="100" w:line="276"/>
        <w:jc w:val="both"/>
      </w:pPr>
      <w:r>
        <w:rPr>
          <w:rFonts w:ascii="Calibri" w:cs="Calibri" w:eastAsia="Calibri" w:hAnsi="Calibri"/>
          <w:b/>
          <w:bCs/>
          <w:sz w:val="22"/>
          <w:szCs w:val="22"/>
        </w:rPr>
        <w:t xml:space="preserve">Conclusion validity. </w:t>
      </w:r>
      <w:r>
        <w:rPr>
          <w:rFonts w:ascii="Calibri" w:cs="Calibri" w:eastAsia="Calibri" w:hAnsi="Calibri"/>
          <w:sz w:val="22"/>
          <w:szCs w:val="22"/>
        </w:rPr>
        <w:t xml:space="preserve">Small per-cell sample sizes are addressed by paired designs, effect-size reporting, and conservative nonparametric tests; the cross-file subset is oversampled specifically to obtain adequate power on the primary comparison.</w:t>
      </w:r>
    </w:p>
    <w:p>
      <w:pPr>
        <w:pStyle w:val="Heading1"/>
        <w:spacing w:after="160" w:before="320"/>
      </w:pPr>
      <w:r>
        <w:rPr>
          <w:rFonts w:ascii="Calibri" w:cs="Calibri" w:eastAsia="Calibri" w:hAnsi="Calibri"/>
          <w:b/>
          <w:bCs/>
          <w:color w:val="1F3864"/>
          <w:sz w:val="30"/>
          <w:szCs w:val="30"/>
        </w:rPr>
        <w:t xml:space="preserve">9. Reproducibility, Environment, and Budget</w:t>
      </w:r>
    </w:p>
    <w:p>
      <w:pPr>
        <w:pStyle w:val="ListParagraph"/>
        <w:numPr>
          <w:ilvl w:val="0"/>
          <w:numId w:val="2"/>
        </w:numPr>
        <w:spacing w:after="100" w:line="276"/>
        <w:jc w:val="both"/>
      </w:pPr>
      <w:r>
        <w:rPr>
          <w:rFonts w:ascii="Calibri" w:cs="Calibri" w:eastAsia="Calibri" w:hAnsi="Calibri"/>
          <w:sz w:val="22"/>
          <w:szCs w:val="22"/>
        </w:rPr>
        <w:t xml:space="preserve">Pinned software: Python 3.12; tree-sitter and tree-sitter-python (pinned versions recorded in the artifact); Semgrep, Bandit, and Pysa versions pinned; NetworkX + SQLite for graph storage.</w:t>
      </w:r>
    </w:p>
    <w:p>
      <w:pPr>
        <w:pStyle w:val="ListParagraph"/>
        <w:numPr>
          <w:ilvl w:val="0"/>
          <w:numId w:val="2"/>
        </w:numPr>
        <w:spacing w:after="100" w:line="276"/>
        <w:jc w:val="both"/>
      </w:pPr>
      <w:r>
        <w:rPr>
          <w:rFonts w:ascii="Calibri" w:cs="Calibri" w:eastAsia="Calibri" w:hAnsi="Calibri"/>
          <w:sz w:val="22"/>
          <w:szCs w:val="22"/>
        </w:rPr>
        <w:t xml:space="preserve">Models: one primary code LLM and one smaller ablation model, exact model identifiers and API versions recorded; temperature 0 for gate/triage calls; fixed seeds where the API supports them; all responses cached keyed by (prompt hash, model, parameters) for deterministic replay.</w:t>
      </w:r>
    </w:p>
    <w:p>
      <w:pPr>
        <w:pStyle w:val="ListParagraph"/>
        <w:numPr>
          <w:ilvl w:val="0"/>
          <w:numId w:val="2"/>
        </w:numPr>
        <w:spacing w:after="100" w:line="276"/>
        <w:jc w:val="both"/>
      </w:pPr>
      <w:r>
        <w:rPr>
          <w:rFonts w:ascii="Calibri" w:cs="Calibri" w:eastAsia="Calibri" w:hAnsi="Calibri"/>
          <w:sz w:val="22"/>
          <w:szCs w:val="22"/>
        </w:rPr>
        <w:t xml:space="preserve">Hardware: consumer laptop/desktop class (8-core CPU, 16 GB RAM); no GPU required, since all model inference is API-based and graph computation is CPU-bound.</w:t>
      </w:r>
    </w:p>
    <w:p>
      <w:pPr>
        <w:pStyle w:val="ListParagraph"/>
        <w:numPr>
          <w:ilvl w:val="0"/>
          <w:numId w:val="2"/>
        </w:numPr>
        <w:spacing w:after="100" w:line="276"/>
        <w:jc w:val="both"/>
      </w:pPr>
      <w:r>
        <w:rPr>
          <w:rFonts w:ascii="Calibri" w:cs="Calibri" w:eastAsia="Calibri" w:hAnsi="Calibri"/>
          <w:sz w:val="22"/>
          <w:szCs w:val="22"/>
        </w:rPr>
        <w:t xml:space="preserve">Budget: estimated token cost per gated iteration is capped by the token-capped delta subgraphs; a total API budget ceiling is set in advance and trace counts are sized to it, with the exact figures reported in the paper.</w:t>
      </w:r>
    </w:p>
    <w:p>
      <w:pPr>
        <w:pStyle w:val="ListParagraph"/>
        <w:numPr>
          <w:ilvl w:val="0"/>
          <w:numId w:val="2"/>
        </w:numPr>
        <w:spacing w:after="100" w:line="276"/>
        <w:jc w:val="both"/>
      </w:pPr>
      <w:r>
        <w:rPr>
          <w:rFonts w:ascii="Calibri" w:cs="Calibri" w:eastAsia="Calibri" w:hAnsi="Calibri"/>
          <w:sz w:val="22"/>
          <w:szCs w:val="22"/>
        </w:rPr>
        <w:t xml:space="preserve">Artifact release: traces, labels, graph builder, ΔG rules, and the replay harness released under a permissive license, subject to the license verification in Section 6.1.</w:t>
      </w:r>
    </w:p>
    <w:p>
      <w:pPr>
        <w:pStyle w:val="Heading1"/>
        <w:spacing w:after="160" w:before="320"/>
      </w:pPr>
      <w:r>
        <w:rPr>
          <w:rFonts w:ascii="Calibri" w:cs="Calibri" w:eastAsia="Calibri" w:hAnsi="Calibri"/>
          <w:b/>
          <w:bCs/>
          <w:color w:val="1F3864"/>
          <w:sz w:val="30"/>
          <w:szCs w:val="30"/>
        </w:rPr>
        <w:t xml:space="preserve">10. Two-Milestone Implementation Plan</w:t>
      </w:r>
    </w:p>
    <w:p>
      <w:pPr>
        <w:spacing w:after="120" w:line="276"/>
        <w:jc w:val="both"/>
      </w:pPr>
      <w:r>
        <w:rPr>
          <w:rFonts w:ascii="Calibri" w:cs="Calibri" w:eastAsia="Calibri" w:hAnsi="Calibri"/>
          <w:b w:val="false"/>
          <w:bCs w:val="false"/>
          <w:i w:val="false"/>
          <w:iCs w:val="false"/>
          <w:sz w:val="22"/>
          <w:szCs w:val="22"/>
        </w:rPr>
        <w:t xml:space="preserve">Milestone 1 is a complete, defensible project on its own; Milestone 2 upgrades it to the full contribution, removing all-or-nothing risk.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3300"/>
        <w:gridCol w:w="1900"/>
      </w:tblGrid>
      <w:tr>
        <w:tc>
          <w:tcPr>
            <w:tcW w:type="dxa" w:w="13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Phase</w:t>
            </w:r>
          </w:p>
        </w:tc>
        <w:tc>
          <w:tcPr>
            <w:tcW w:type="dxa" w:w="33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Deliverables</w:t>
            </w:r>
          </w:p>
        </w:tc>
        <w:tc>
          <w:tcPr>
            <w:tcW w:type="dxa" w:w="33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Details</w:t>
            </w:r>
          </w:p>
        </w:tc>
        <w:tc>
          <w:tcPr>
            <w:tcW w:type="dxa" w:w="19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Indicative timeline</w:t>
            </w:r>
          </w:p>
        </w:tc>
      </w:tr>
      <w:tr>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M1.1</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Refinement harness + trace replay</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Deterministic loop driver; caching; ISTAS-style prompt set</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Weeks 1–3</w:t>
            </w:r>
          </w:p>
        </w:tc>
      </w:tr>
      <w:tr>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M1.2</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Dataset v1</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CVE-fix mining; 25–30 validated events with local regressions labeled</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Weeks 3–6</w:t>
            </w:r>
          </w:p>
        </w:tc>
      </w:tr>
      <w:tr>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M1.3</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Local gate (B) + Pysa baseline (S1)</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Semgrep/Bandit + LLM triage; A-vs-B-vs-S1 degradation result</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Weeks 6–9</w:t>
            </w:r>
          </w:p>
        </w:tc>
      </w:tr>
      <w:tr>
        <w:tc>
          <w:tcPr>
            <w:tcW w:type="dxa" w:w="1300"/>
            <w:tcBorders>
              <w:top w:val="single" w:color="9CA3AF" w:sz="4"/>
              <w:left w:val="single" w:color="9CA3AF" w:sz="4"/>
              <w:bottom w:val="single" w:color="9CA3AF" w:sz="4"/>
              <w:right w:val="single" w:color="9CA3AF" w:sz="4"/>
            </w:tcBorders>
            <w:shd w:fill="FDEBD0" w:val="clear"/>
            <w:tcMar>
              <w:top w:type="dxa" w:w="80"/>
              <w:left w:type="dxa" w:w="120"/>
              <w:bottom w:type="dxa" w:w="80"/>
              <w:right w:type="dxa" w:w="120"/>
            </w:tcMar>
          </w:tcPr>
          <w:p>
            <w:pPr>
              <w:jc w:val="left"/>
            </w:pPr>
            <w:r>
              <w:rPr>
                <w:rFonts w:ascii="Calibri" w:cs="Calibri" w:eastAsia="Calibri" w:hAnsi="Calibri"/>
                <w:b/>
                <w:bCs/>
                <w:sz w:val="20"/>
                <w:szCs w:val="20"/>
              </w:rPr>
              <w:t xml:space="preserve">M1 exit</w:t>
            </w:r>
          </w:p>
        </w:tc>
        <w:tc>
          <w:tcPr>
            <w:tcW w:type="dxa" w:w="3300"/>
            <w:tcBorders>
              <w:top w:val="single" w:color="9CA3AF" w:sz="4"/>
              <w:left w:val="single" w:color="9CA3AF" w:sz="4"/>
              <w:bottom w:val="single" w:color="9CA3AF" w:sz="4"/>
              <w:right w:val="single" w:color="9CA3AF" w:sz="4"/>
            </w:tcBorders>
            <w:shd w:fill="FDEBD0"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Standalone reportable result</w:t>
            </w:r>
          </w:p>
        </w:tc>
        <w:tc>
          <w:tcPr>
            <w:tcW w:type="dxa" w:w="3300"/>
            <w:tcBorders>
              <w:top w:val="single" w:color="9CA3AF" w:sz="4"/>
              <w:left w:val="single" w:color="9CA3AF" w:sz="4"/>
              <w:bottom w:val="single" w:color="9CA3AF" w:sz="4"/>
              <w:right w:val="single" w:color="9CA3AF" w:sz="4"/>
            </w:tcBorders>
            <w:shd w:fill="FDEBD0"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In-loop gating vs. static-only baseline on the degradation curve</w:t>
            </w:r>
          </w:p>
        </w:tc>
        <w:tc>
          <w:tcPr>
            <w:tcW w:type="dxa" w:w="1900"/>
            <w:tcBorders>
              <w:top w:val="single" w:color="9CA3AF" w:sz="4"/>
              <w:left w:val="single" w:color="9CA3AF" w:sz="4"/>
              <w:bottom w:val="single" w:color="9CA3AF" w:sz="4"/>
              <w:right w:val="single" w:color="9CA3AF" w:sz="4"/>
            </w:tcBorders>
            <w:shd w:fill="FDEBD0" w:val="clear"/>
            <w:tcMar>
              <w:top w:type="dxa" w:w="80"/>
              <w:left w:type="dxa" w:w="120"/>
              <w:bottom w:type="dxa" w:w="80"/>
              <w:right w:type="dxa" w:w="120"/>
            </w:tcMar>
          </w:tcPr>
          <w:p>
            <w:pPr>
              <w:jc w:val="left"/>
            </w:pPr>
            <w:r>
              <w:rPr>
                <w:rFonts w:ascii="Calibri" w:cs="Calibri" w:eastAsia="Calibri" w:hAnsi="Calibri"/>
                <w:b w:val="false"/>
                <w:bCs w:val="false"/>
                <w:sz w:val="20"/>
                <w:szCs w:val="20"/>
              </w:rPr>
              <w:t xml:space="preserve">≈ Week 9</w:t>
            </w:r>
          </w:p>
        </w:tc>
      </w:tr>
      <w:tr>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M2.1</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Graph layer + ΔG engine</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tree-sitter call graph; taint/sanitizer edges; rules R1–R4; unit scenarios</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Weeks 9–12</w:t>
            </w:r>
          </w:p>
        </w:tc>
      </w:tr>
      <w:tr>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M2.2</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Dataset v2 + Condition C + holdout</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Cross-file variants (15–25); real-session holdout collection</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Weeks 12–15</w:t>
            </w:r>
          </w:p>
        </w:tc>
      </w:tr>
      <w:tr>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bCs/>
                <w:sz w:val="20"/>
                <w:szCs w:val="20"/>
              </w:rPr>
              <w:t xml:space="preserve">M2.3</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Full study + ablations + paper</w:t>
            </w:r>
          </w:p>
        </w:tc>
        <w:tc>
          <w:tcPr>
            <w:tcW w:type="dxa" w:w="3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Three conditions + S1/S2; ablations; error analysis; writing; artifact release</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Weeks 15–18</w:t>
            </w:r>
          </w:p>
        </w:tc>
      </w:tr>
    </w:tbl>
    <w:p>
      <w:pPr>
        <w:spacing w:after="80" w:line="276"/>
        <w:jc w:val="both"/>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1F3864"/>
          <w:sz w:val="30"/>
          <w:szCs w:val="30"/>
        </w:rPr>
        <w:t xml:space="preserve">11. Target Venues</w:t>
      </w:r>
    </w:p>
    <w:p>
      <w:pPr>
        <w:pStyle w:val="ListParagraph"/>
        <w:numPr>
          <w:ilvl w:val="0"/>
          <w:numId w:val="2"/>
        </w:numPr>
        <w:spacing w:after="100" w:line="276"/>
        <w:jc w:val="both"/>
      </w:pPr>
      <w:r>
        <w:rPr>
          <w:rFonts w:ascii="Calibri" w:cs="Calibri" w:eastAsia="Calibri" w:hAnsi="Calibri"/>
          <w:sz w:val="22"/>
          <w:szCs w:val="22"/>
        </w:rPr>
        <w:t xml:space="preserve">Primary: IEEE/ACM CAIN (AI Engineering), or an ICSE/ASE workshop on LLMs for software engineering or secure code (estimated fit: strong, per external review).</w:t>
      </w:r>
    </w:p>
    <w:p>
      <w:pPr>
        <w:pStyle w:val="ListParagraph"/>
        <w:numPr>
          <w:ilvl w:val="0"/>
          <w:numId w:val="2"/>
        </w:numPr>
        <w:spacing w:after="100" w:line="276"/>
        <w:jc w:val="both"/>
      </w:pPr>
      <w:r>
        <w:rPr>
          <w:rFonts w:ascii="Calibri" w:cs="Calibri" w:eastAsia="Calibri" w:hAnsi="Calibri"/>
          <w:sz w:val="22"/>
          <w:szCs w:val="22"/>
        </w:rPr>
        <w:t xml:space="preserve">Secondary: IEEE ICSME or ICST short-paper tracks.</w:t>
      </w:r>
    </w:p>
    <w:p>
      <w:pPr>
        <w:pStyle w:val="ListParagraph"/>
        <w:numPr>
          <w:ilvl w:val="0"/>
          <w:numId w:val="2"/>
        </w:numPr>
        <w:spacing w:after="100" w:line="276"/>
        <w:jc w:val="both"/>
      </w:pPr>
      <w:r>
        <w:rPr>
          <w:rFonts w:ascii="Calibri" w:cs="Calibri" w:eastAsia="Calibri" w:hAnsi="Calibri"/>
          <w:sz w:val="22"/>
          <w:szCs w:val="22"/>
        </w:rPr>
        <w:t xml:space="preserve">Journal route (post-capstone extension): IEEE Access or Journal of Systems and Software.</w:t>
      </w:r>
    </w:p>
    <w:p>
      <w:pPr>
        <w:pStyle w:val="ListParagraph"/>
        <w:numPr>
          <w:ilvl w:val="0"/>
          <w:numId w:val="2"/>
        </w:numPr>
        <w:spacing w:after="100" w:line="276"/>
        <w:jc w:val="both"/>
      </w:pPr>
      <w:r>
        <w:rPr>
          <w:rFonts w:ascii="Calibri" w:cs="Calibri" w:eastAsia="Calibri" w:hAnsi="Calibri"/>
          <w:sz w:val="22"/>
          <w:szCs w:val="22"/>
        </w:rPr>
        <w:t xml:space="preserve">Milestone-1 results may be submitted to an IEEE-indexed regional venue while the full study targets the primary venue.</w:t>
      </w:r>
    </w:p>
    <w:p>
      <w:pPr>
        <w:pStyle w:val="Heading1"/>
        <w:spacing w:after="160" w:before="320"/>
      </w:pPr>
      <w:r>
        <w:rPr>
          <w:rFonts w:ascii="Calibri" w:cs="Calibri" w:eastAsia="Calibri" w:hAnsi="Calibri"/>
          <w:b/>
          <w:bCs/>
          <w:color w:val="1F3864"/>
          <w:sz w:val="30"/>
          <w:szCs w:val="30"/>
        </w:rPr>
        <w:t xml:space="preserve">12. Risks and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400"/>
      </w:tblGrid>
      <w:tr>
        <w:tc>
          <w:tcPr>
            <w:tcW w:type="dxa" w:w="32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Risk</w:t>
            </w:r>
          </w:p>
        </w:tc>
        <w:tc>
          <w:tcPr>
            <w:tcW w:type="dxa" w:w="22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Likelihood / impact</w:t>
            </w:r>
          </w:p>
        </w:tc>
        <w:tc>
          <w:tcPr>
            <w:tcW w:type="dxa" w:w="4400"/>
            <w:tcBorders>
              <w:top w:val="single" w:color="9CA3AF" w:sz="4"/>
              <w:left w:val="single" w:color="9CA3AF" w:sz="4"/>
              <w:bottom w:val="single" w:color="9CA3AF" w:sz="4"/>
              <w:right w:val="single" w:color="9CA3AF" w:sz="4"/>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Mitigation</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Graph misses real flows (dynamic Python)</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Medium / High</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Injection-class scope; unknown-edge transparency metric; error analysis by cause; claims limited to practical differencing (Section 5.3)</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Synthetic benchmark bias</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High / High</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Real-session holdout set reported separately; prevalence-reweighted results (Section 6)</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False-positive explosion in Condition C</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Medium / High</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Deterministic ΔG rules limit flag volume; LLM triage filters benign refactors; precision tracked as a primary metric with a pre-registered threshold</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CVE mining slower than planned</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Medium / Medium</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Reduced target (40–60 events); quality-first validation; M1 dataset scoped to 25–30 events</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 cost / rate limits</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Medium / Medium</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Token-capped delta subgraphs; caching; pre-set budget ceiling; small-model ablation</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Scooped mid-project</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Medium / Medium</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Benchmark + controlled design remain contributions regardless; early preprint after M1</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Timeline slip</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Medium / Medium</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M1 is a complete fallback project by design (Section 10)</w:t>
            </w:r>
          </w:p>
        </w:tc>
      </w:tr>
    </w:tbl>
    <w:p>
      <w:pPr>
        <w:spacing w:after="80" w:line="276"/>
        <w:jc w:val="both"/>
      </w:pPr>
      <w:r>
        <w:rPr>
          <w:rFonts w:ascii="Calibri" w:cs="Calibri" w:eastAsia="Calibri" w:hAnsi="Calibri"/>
          <w:b w:val="false"/>
          <w:bCs w:val="false"/>
          <w:i w:val="false"/>
          <w:iCs w:val="false"/>
          <w:sz w:val="22"/>
          <w:szCs w:val="22"/>
        </w:rPr>
        <w:t xml:space="preserve"/>
      </w:r>
    </w:p>
    <w:p>
      <w:pPr>
        <w:pStyle w:val="Heading1"/>
        <w:spacing w:after="160" w:before="320"/>
      </w:pPr>
      <w:r>
        <w:rPr>
          <w:rFonts w:ascii="Calibri" w:cs="Calibri" w:eastAsia="Calibri" w:hAnsi="Calibri"/>
          <w:b/>
          <w:bCs/>
          <w:color w:val="1F3864"/>
          <w:sz w:val="30"/>
          <w:szCs w:val="30"/>
        </w:rPr>
        <w:t xml:space="preserve">13. Key References</w:t>
      </w:r>
    </w:p>
    <w:p>
      <w:pPr>
        <w:pStyle w:val="ListParagraph"/>
        <w:numPr>
          <w:ilvl w:val="0"/>
          <w:numId w:val="6"/>
        </w:numPr>
        <w:spacing w:after="100" w:line="276"/>
        <w:jc w:val="both"/>
      </w:pPr>
      <w:r>
        <w:rPr>
          <w:rFonts w:ascii="Calibri" w:cs="Calibri" w:eastAsia="Calibri" w:hAnsi="Calibri"/>
          <w:sz w:val="22"/>
          <w:szCs w:val="22"/>
        </w:rPr>
        <w:t xml:space="preserve">“Security Degradation in Iterative AI Code Generation: A Systematic Analysis of the Paradox,” IEEE ISTAS 2025. (Base phenomenon; motivates the in-loop gate.)</w:t>
      </w:r>
    </w:p>
    <w:p>
      <w:pPr>
        <w:pStyle w:val="ListParagraph"/>
        <w:numPr>
          <w:ilvl w:val="0"/>
          <w:numId w:val="6"/>
        </w:numPr>
        <w:spacing w:after="100" w:line="276"/>
        <w:jc w:val="both"/>
      </w:pPr>
      <w:r>
        <w:rPr>
          <w:rFonts w:ascii="Calibri" w:cs="Calibri" w:eastAsia="Calibri" w:hAnsi="Calibri"/>
          <w:sz w:val="22"/>
          <w:szCs w:val="22"/>
        </w:rPr>
        <w:t xml:space="preserve">F. Yamaguchi, N. Golde, D. Arp, K. Rieck, “Modeling and Discovering Vulnerabilities with Code Property Graphs,” IEEE S&amp;P 2014. (CPG foundation.)</w:t>
      </w:r>
    </w:p>
    <w:p>
      <w:pPr>
        <w:pStyle w:val="ListParagraph"/>
        <w:numPr>
          <w:ilvl w:val="0"/>
          <w:numId w:val="6"/>
        </w:numPr>
        <w:spacing w:after="100" w:line="276"/>
        <w:jc w:val="both"/>
      </w:pPr>
      <w:r>
        <w:rPr>
          <w:rFonts w:ascii="Calibri" w:cs="Calibri" w:eastAsia="Calibri" w:hAnsi="Calibri"/>
          <w:sz w:val="22"/>
          <w:szCs w:val="22"/>
        </w:rPr>
        <w:t xml:space="preserve">Joern — open-source code analysis platform based on Code Property Graphs.</w:t>
      </w:r>
    </w:p>
    <w:p>
      <w:pPr>
        <w:pStyle w:val="ListParagraph"/>
        <w:numPr>
          <w:ilvl w:val="0"/>
          <w:numId w:val="6"/>
        </w:numPr>
        <w:spacing w:after="100" w:line="276"/>
        <w:jc w:val="both"/>
      </w:pPr>
      <w:r>
        <w:rPr>
          <w:rFonts w:ascii="Calibri" w:cs="Calibri" w:eastAsia="Calibri" w:hAnsi="Calibri"/>
          <w:sz w:val="22"/>
          <w:szCs w:val="22"/>
        </w:rPr>
        <w:t xml:space="preserve">S. Arzt et al., “FlowDroid: Precise Context, Flow, Field, Object-Sensitive and Lifecycle-Aware Taint Analysis,” PLDI 2014. (Taint-analysis foundation.)</w:t>
      </w:r>
    </w:p>
    <w:p>
      <w:pPr>
        <w:pStyle w:val="ListParagraph"/>
        <w:numPr>
          <w:ilvl w:val="0"/>
          <w:numId w:val="6"/>
        </w:numPr>
        <w:spacing w:after="100" w:line="276"/>
        <w:jc w:val="both"/>
      </w:pPr>
      <w:r>
        <w:rPr>
          <w:rFonts w:ascii="Calibri" w:cs="Calibri" w:eastAsia="Calibri" w:hAnsi="Calibri"/>
          <w:sz w:val="22"/>
          <w:szCs w:val="22"/>
        </w:rPr>
        <w:t xml:space="preserve">Pysa — Python static taint analysis on the Pyre type checker (Meta). (Baseline S1.)</w:t>
      </w:r>
    </w:p>
    <w:p>
      <w:pPr>
        <w:pStyle w:val="ListParagraph"/>
        <w:numPr>
          <w:ilvl w:val="0"/>
          <w:numId w:val="6"/>
        </w:numPr>
        <w:spacing w:after="100" w:line="276"/>
        <w:jc w:val="both"/>
      </w:pPr>
      <w:r>
        <w:rPr>
          <w:rFonts w:ascii="Calibri" w:cs="Calibri" w:eastAsia="Calibri" w:hAnsi="Calibri"/>
          <w:sz w:val="22"/>
          <w:szCs w:val="22"/>
        </w:rPr>
        <w:t xml:space="preserve">CodeQL — declarative data-flow and taint-tracking analysis (GitHub). (Baseline S2, license permitting.)</w:t>
      </w:r>
    </w:p>
    <w:p>
      <w:pPr>
        <w:pStyle w:val="ListParagraph"/>
        <w:numPr>
          <w:ilvl w:val="0"/>
          <w:numId w:val="6"/>
        </w:numPr>
        <w:spacing w:after="100" w:line="276"/>
        <w:jc w:val="both"/>
      </w:pPr>
      <w:r>
        <w:rPr>
          <w:rFonts w:ascii="Calibri" w:cs="Calibri" w:eastAsia="Calibri" w:hAnsi="Calibri"/>
          <w:sz w:val="22"/>
          <w:szCs w:val="22"/>
        </w:rPr>
        <w:t xml:space="preserve">A. Lekssays et al., “LLMxCPG: Context-Aware Vulnerability Detection Through Code Property Graph-Guided Large Language Models,” USENIX Security 2025.</w:t>
      </w:r>
    </w:p>
    <w:p>
      <w:pPr>
        <w:pStyle w:val="ListParagraph"/>
        <w:numPr>
          <w:ilvl w:val="0"/>
          <w:numId w:val="6"/>
        </w:numPr>
        <w:spacing w:after="100" w:line="276"/>
        <w:jc w:val="both"/>
      </w:pPr>
      <w:r>
        <w:rPr>
          <w:rFonts w:ascii="Calibri" w:cs="Calibri" w:eastAsia="Calibri" w:hAnsi="Calibri"/>
          <w:sz w:val="22"/>
          <w:szCs w:val="22"/>
        </w:rPr>
        <w:t xml:space="preserve">J. Guo et al., “RepoAudit: An Autonomous LLM-Agent for Repository-Level Code Auditing,” ICML 2025.</w:t>
      </w:r>
    </w:p>
    <w:p>
      <w:pPr>
        <w:pStyle w:val="ListParagraph"/>
        <w:numPr>
          <w:ilvl w:val="0"/>
          <w:numId w:val="6"/>
        </w:numPr>
        <w:spacing w:after="100" w:line="276"/>
        <w:jc w:val="both"/>
      </w:pPr>
      <w:r>
        <w:rPr>
          <w:rFonts w:ascii="Calibri" w:cs="Calibri" w:eastAsia="Calibri" w:hAnsi="Calibri"/>
          <w:sz w:val="22"/>
          <w:szCs w:val="22"/>
        </w:rPr>
        <w:t xml:space="preserve">C. Wang et al., “LLMDFA: Analyzing Dataflow in Code with Large Language Models,” NeurIPS 2024.</w:t>
      </w:r>
    </w:p>
    <w:p>
      <w:pPr>
        <w:pStyle w:val="ListParagraph"/>
        <w:numPr>
          <w:ilvl w:val="0"/>
          <w:numId w:val="6"/>
        </w:numPr>
        <w:spacing w:after="100" w:line="276"/>
        <w:jc w:val="both"/>
      </w:pPr>
      <w:r>
        <w:rPr>
          <w:rFonts w:ascii="Calibri" w:cs="Calibri" w:eastAsia="Calibri" w:hAnsi="Calibri"/>
          <w:sz w:val="22"/>
          <w:szCs w:val="22"/>
        </w:rPr>
        <w:t xml:space="preserve">“MulVul: Retrieval-Augmented Multi-Agent Code Vulnerability Detection via Cross-Model Prompt Evolution,” 2026 (arXiv).</w:t>
      </w:r>
    </w:p>
    <w:p>
      <w:pPr>
        <w:pStyle w:val="ListParagraph"/>
        <w:numPr>
          <w:ilvl w:val="0"/>
          <w:numId w:val="6"/>
        </w:numPr>
        <w:spacing w:after="100" w:line="276"/>
        <w:jc w:val="both"/>
      </w:pPr>
      <w:r>
        <w:rPr>
          <w:rFonts w:ascii="Calibri" w:cs="Calibri" w:eastAsia="Calibri" w:hAnsi="Calibri"/>
          <w:sz w:val="22"/>
          <w:szCs w:val="22"/>
        </w:rPr>
        <w:t xml:space="preserve">CVEfixes — dataset mapping CVEs to their fixing commits; used for ground-truth regression construction.</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56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903a5c11e4ef39592a811c9381bdc81c0e1a4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2026-07-21T06:59:41.600Z</dcterms:created>
  <dcterms:modified xsi:type="dcterms:W3CDTF">2026-07-21T06:59:41.601Z</dcterms:modified>
</cp:coreProperties>
</file>

<file path=docProps/custom.xml><?xml version="1.0" encoding="utf-8"?>
<Properties xmlns="http://schemas.openxmlformats.org/officeDocument/2006/custom-properties" xmlns:vt="http://schemas.openxmlformats.org/officeDocument/2006/docPropsVTypes"/>
</file>