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A44"/>
          <w:sz w:val="44"/>
        </w:rPr>
        <w:t>PO Fulfilment AI Agent</w:t>
      </w:r>
    </w:p>
    <w:p>
      <w:pPr>
        <w:jc w:val="center"/>
      </w:pPr>
      <w:r>
        <w:rPr>
          <w:b/>
          <w:color w:val="2563EB"/>
          <w:sz w:val="28"/>
        </w:rPr>
        <w:t>Master Data Reference</w:t>
      </w:r>
    </w:p>
    <w:p>
      <w:pPr>
        <w:jc w:val="center"/>
      </w:pPr>
      <w:r>
        <w:rPr>
          <w:i/>
        </w:rPr>
        <w:t>11 master workbooks   |   55 tables   |   the complete reference data behind every decision stage</w:t>
      </w:r>
    </w:p>
    <w:p/>
    <w:p>
      <w:r>
        <w:t xml:space="preserve">This document lists every master-data Excel workbook used by the AI orchestration agent, every table (sheet) inside it, and the plain-English use case each table serves at runtime. Workbooks are ordered by the user story that consumes them (US-02 through US-12). All files live under </w:t>
      </w:r>
      <w:r>
        <w:rPr>
          <w:rFonts w:ascii="Consolas" w:hAnsi="Consolas"/>
        </w:rPr>
        <w:t>mock-data/</w:t>
      </w:r>
      <w:r>
        <w:t xml:space="preserve"> in the project root.</w:t>
      </w:r>
    </w:p>
    <w:p/>
    <w:tbl>
      <w:tblPr>
        <w:tblStyle w:val="LightGrid-Accent1"/>
        <w:tblW w:type="auto" w:w="0"/>
        <w:tblLayout w:type="fixed"/>
        <w:tblLook w:firstColumn="1" w:firstRow="1" w:lastColumn="0" w:lastRow="0" w:noHBand="0" w:noVBand="1" w:val="04A0"/>
      </w:tblPr>
      <w:tblGrid>
        <w:gridCol w:w="4713"/>
        <w:gridCol w:w="4713"/>
        <w:gridCol w:w="4713"/>
      </w:tblGrid>
      <w:tr>
        <w:tc>
          <w:tcPr>
            <w:tcW w:type="dxa" w:w="2736"/>
            <w:shd w:val="clear" w:color="auto" w:fill="1F2A44"/>
            <w:vAlign w:val="center"/>
          </w:tcPr>
          <w:p>
            <w:r/>
            <w:r>
              <w:rPr>
                <w:b/>
                <w:color w:val="FFFFFF"/>
                <w:sz w:val="22"/>
              </w:rPr>
              <w:t>Master file name</w:t>
            </w:r>
          </w:p>
        </w:tc>
        <w:tc>
          <w:tcPr>
            <w:tcW w:type="dxa" w:w="2736"/>
            <w:shd w:val="clear" w:color="auto" w:fill="1F2A44"/>
            <w:vAlign w:val="center"/>
          </w:tcPr>
          <w:p>
            <w:r/>
            <w:r>
              <w:rPr>
                <w:b/>
                <w:color w:val="FFFFFF"/>
                <w:sz w:val="22"/>
              </w:rPr>
              <w:t>Tables in each master file</w:t>
            </w:r>
          </w:p>
        </w:tc>
        <w:tc>
          <w:tcPr>
            <w:tcW w:type="dxa" w:w="9648"/>
            <w:shd w:val="clear" w:color="auto" w:fill="1F2A44"/>
            <w:vAlign w:val="center"/>
          </w:tcPr>
          <w:p>
            <w:r/>
            <w:r>
              <w:rPr>
                <w:b/>
                <w:color w:val="FFFFFF"/>
                <w:sz w:val="22"/>
              </w:rPr>
              <w:t>Use case of each table</w:t>
            </w:r>
          </w:p>
        </w:tc>
      </w:tr>
      <w:tr>
        <w:tc>
          <w:tcPr>
            <w:tcW w:type="dxa" w:w="2736"/>
          </w:tcPr>
          <w:p>
            <w:r/>
            <w:r>
              <w:rPr>
                <w:b/>
                <w:color w:val="1F2A44"/>
                <w:sz w:val="20"/>
              </w:rPr>
              <w:t>customer-master-data.xlsx</w:t>
              <w:br/>
            </w:r>
            <w:r>
              <w:rPr>
                <w:i/>
                <w:color w:val="1E7D44"/>
                <w:sz w:val="18"/>
              </w:rPr>
              <w:t>US-02 Account Hierarchy &amp; Ship-To Validation</w:t>
            </w:r>
          </w:p>
        </w:tc>
        <w:tc>
          <w:tcPr>
            <w:tcW w:type="dxa" w:w="2736"/>
          </w:tcPr>
          <w:p>
            <w:r/>
            <w:r>
              <w:rPr>
                <w:rFonts w:ascii="Consolas" w:hAnsi="Consolas"/>
                <w:b/>
                <w:sz w:val="20"/>
              </w:rPr>
              <w:t>Customer_Master</w:t>
            </w:r>
          </w:p>
        </w:tc>
        <w:tc>
          <w:tcPr>
            <w:tcW w:type="dxa" w:w="9648"/>
          </w:tcPr>
          <w:p>
            <w:r>
              <w:t>The single source of truth for who each customer is. Holds ERP ID, CRM ID, legal name, tax ID, primary contact, credit rating, and status. Used at account validation to resolve the customer named on the PO to a unique internal account (and to raise UNMATCHED or DUPLICATE customer exceptions).</w:t>
            </w:r>
          </w:p>
        </w:tc>
      </w:tr>
      <w:tr>
        <w:tc>
          <w:tcPr>
            <w:tcW w:type="dxa" w:w="2736"/>
            <w:vMerge w:val="restart"/>
          </w:tcPr>
          <w:p/>
        </w:tc>
        <w:tc>
          <w:tcPr>
            <w:tcW w:type="dxa" w:w="2736"/>
          </w:tcPr>
          <w:p>
            <w:r/>
            <w:r>
              <w:rPr>
                <w:rFonts w:ascii="Consolas" w:hAnsi="Consolas"/>
                <w:b/>
                <w:sz w:val="20"/>
              </w:rPr>
              <w:t>Account_Hierarchy</w:t>
            </w:r>
          </w:p>
        </w:tc>
        <w:tc>
          <w:tcPr>
            <w:tcW w:type="dxa" w:w="9648"/>
          </w:tcPr>
          <w:p>
            <w:r>
              <w:t>Maps every branch to its regional division and its global parent. Used to walk the account tree upwards from the ship-to and confirm the ship-to sits under the same global parent as the ordering customer (HIERARCHY_MISMATCH check).</w:t>
            </w:r>
          </w:p>
        </w:tc>
      </w:tr>
      <w:tr>
        <w:tc>
          <w:tcPr>
            <w:tcW w:type="dxa" w:w="4713"/>
            <w:vMerge/>
          </w:tcPr>
          <w:p/>
        </w:tc>
        <w:tc>
          <w:tcPr>
            <w:tcW w:type="dxa" w:w="2736"/>
          </w:tcPr>
          <w:p>
            <w:r/>
            <w:r>
              <w:rPr>
                <w:rFonts w:ascii="Consolas" w:hAnsi="Consolas"/>
                <w:b/>
                <w:sz w:val="20"/>
              </w:rPr>
              <w:t>Ship_To_Master</w:t>
            </w:r>
          </w:p>
        </w:tc>
        <w:tc>
          <w:tcPr>
            <w:tcW w:type="dxa" w:w="9648"/>
          </w:tcPr>
          <w:p>
            <w:r>
              <w:t>All valid ship-to locations with their ZIP, address, branch, active flag, split/backorder tolerance, and default delivery instructions (dock hours, contact phone, access notes). Used to look up the ship-to ZIP from the PO and confirm it is registered (INVALID_SHIP_TO check). The `default_delivery_instructions` column captures the site's routine handling rules; the UI shows delivery instructions from the PO only (per-transaction) rather than pulling this default in as a fallback.</w:t>
            </w:r>
          </w:p>
        </w:tc>
      </w:tr>
      <w:tr>
        <w:tc>
          <w:tcPr>
            <w:tcW w:type="dxa" w:w="4713"/>
            <w:vMerge/>
          </w:tcPr>
          <w:p/>
        </w:tc>
        <w:tc>
          <w:tcPr>
            <w:tcW w:type="dxa" w:w="2736"/>
          </w:tcPr>
          <w:p>
            <w:r/>
            <w:r>
              <w:rPr>
                <w:rFonts w:ascii="Consolas" w:hAnsi="Consolas"/>
                <w:b/>
                <w:sz w:val="20"/>
              </w:rPr>
              <w:t>Hierarchy_Rules</w:t>
            </w:r>
          </w:p>
        </w:tc>
        <w:tc>
          <w:tcPr>
            <w:tcW w:type="dxa" w:w="9648"/>
          </w:tcPr>
          <w:p>
            <w:r>
              <w:t>Which rules apply at which level of the hierarchy — pricing tier, product visibility, budget limit, approval routing, and fulfillment rule ID. The most specific level (ship-to &gt; branch &gt; regional &gt; global) wins.</w:t>
            </w:r>
          </w:p>
        </w:tc>
      </w:tr>
      <w:tr>
        <w:tc>
          <w:tcPr>
            <w:tcW w:type="dxa" w:w="4713"/>
            <w:vMerge/>
          </w:tcPr>
          <w:p/>
        </w:tc>
        <w:tc>
          <w:tcPr>
            <w:tcW w:type="dxa" w:w="2736"/>
          </w:tcPr>
          <w:p>
            <w:r/>
            <w:r>
              <w:rPr>
                <w:rFonts w:ascii="Consolas" w:hAnsi="Consolas"/>
                <w:b/>
                <w:sz w:val="20"/>
              </w:rPr>
              <w:t>Fulfillment_Rules</w:t>
            </w:r>
          </w:p>
        </w:tc>
        <w:tc>
          <w:tcPr>
            <w:tcW w:type="dxa" w:w="9648"/>
          </w:tcPr>
          <w:p>
            <w:r>
              <w:t>The actual business content behind each fulfillment rule ID: preferred warehouse, alternate warehouses, restricted warehouses, split allowed, backorder allowed, max backorder days, min order qty, delivery SLA days, allocation priority. Used by US-09 Inventory and US-10 Fulfillment Optimization stages.</w:t>
            </w:r>
          </w:p>
        </w:tc>
      </w:tr>
      <w:tr>
        <w:tc>
          <w:tcPr>
            <w:tcW w:type="dxa" w:w="2736"/>
            <w:shd w:val="clear" w:color="auto" w:fill="F8FAFC"/>
          </w:tcPr>
          <w:p>
            <w:r/>
            <w:r>
              <w:rPr>
                <w:b/>
                <w:color w:val="1F2A44"/>
                <w:sz w:val="20"/>
              </w:rPr>
              <w:t>buyer-master-data.xlsx</w:t>
              <w:br/>
            </w:r>
            <w:r>
              <w:rPr>
                <w:i/>
                <w:color w:val="1E7D44"/>
                <w:sz w:val="18"/>
              </w:rPr>
              <w:t>US-03 Buyer Authorization &amp; Product Visibility</w:t>
            </w:r>
          </w:p>
        </w:tc>
        <w:tc>
          <w:tcPr>
            <w:tcW w:type="dxa" w:w="2736"/>
            <w:shd w:val="clear" w:color="auto" w:fill="F8FAFC"/>
          </w:tcPr>
          <w:p>
            <w:r/>
            <w:r>
              <w:rPr>
                <w:rFonts w:ascii="Consolas" w:hAnsi="Consolas"/>
                <w:b/>
                <w:sz w:val="20"/>
              </w:rPr>
              <w:t>Buyer_Profiles</w:t>
            </w:r>
          </w:p>
        </w:tc>
        <w:tc>
          <w:tcPr>
            <w:tcW w:type="dxa" w:w="9648"/>
            <w:shd w:val="clear" w:color="auto" w:fill="F8FAFC"/>
          </w:tcPr>
          <w:p>
            <w:r>
              <w:t>The master list of authorized buyers (contact persons on POs). Contains buyer ID, name, email, employer, status. Used to verify that the person named on the PO is actually authorized to place orders on that customer's behalf (UNAUTHORIZED_BUYER check).</w:t>
            </w:r>
          </w:p>
        </w:tc>
      </w:tr>
      <w:tr>
        <w:tc>
          <w:tcPr>
            <w:tcW w:type="dxa" w:w="2736"/>
            <w:vMerge w:val="restart"/>
            <w:shd w:val="clear" w:color="auto" w:fill="F8FAFC"/>
          </w:tcPr>
          <w:p/>
        </w:tc>
        <w:tc>
          <w:tcPr>
            <w:tcW w:type="dxa" w:w="2736"/>
            <w:shd w:val="clear" w:color="auto" w:fill="F8FAFC"/>
          </w:tcPr>
          <w:p>
            <w:r/>
            <w:r>
              <w:rPr>
                <w:rFonts w:ascii="Consolas" w:hAnsi="Consolas"/>
                <w:b/>
                <w:sz w:val="20"/>
              </w:rPr>
              <w:t>User_Permissions</w:t>
            </w:r>
          </w:p>
        </w:tc>
        <w:tc>
          <w:tcPr>
            <w:tcW w:type="dxa" w:w="9648"/>
            <w:shd w:val="clear" w:color="auto" w:fill="F8FAFC"/>
          </w:tcPr>
          <w:p>
            <w:r>
              <w:t>Per-buyer permission flags — order value limit, product categories they may order, geographies they may ship to. Enforced by the buyer authorization stage.</w:t>
            </w:r>
          </w:p>
        </w:tc>
      </w:tr>
      <w:tr>
        <w:tc>
          <w:tcPr>
            <w:tcW w:type="dxa" w:w="4713"/>
            <w:vMerge/>
            <w:shd w:val="clear" w:color="auto" w:fill="F8FAFC"/>
          </w:tcPr>
          <w:p/>
        </w:tc>
        <w:tc>
          <w:tcPr>
            <w:tcW w:type="dxa" w:w="2736"/>
            <w:shd w:val="clear" w:color="auto" w:fill="F8FAFC"/>
          </w:tcPr>
          <w:p>
            <w:r/>
            <w:r>
              <w:rPr>
                <w:rFonts w:ascii="Consolas" w:hAnsi="Consolas"/>
                <w:b/>
                <w:sz w:val="20"/>
              </w:rPr>
              <w:t>Cost_Centers</w:t>
            </w:r>
          </w:p>
        </w:tc>
        <w:tc>
          <w:tcPr>
            <w:tcW w:type="dxa" w:w="9648"/>
            <w:shd w:val="clear" w:color="auto" w:fill="F8FAFC"/>
          </w:tcPr>
          <w:p>
            <w:r>
              <w:t>Master list of cost centers with the branch each cost center belongs to. Used to validate that the cost center on the PO is real and belongs to the buyer's branch (INVALID_COST_CENTER check).</w:t>
            </w:r>
          </w:p>
        </w:tc>
      </w:tr>
      <w:tr>
        <w:tc>
          <w:tcPr>
            <w:tcW w:type="dxa" w:w="4713"/>
            <w:vMerge/>
            <w:shd w:val="clear" w:color="auto" w:fill="F8FAFC"/>
          </w:tcPr>
          <w:p/>
        </w:tc>
        <w:tc>
          <w:tcPr>
            <w:tcW w:type="dxa" w:w="2736"/>
            <w:shd w:val="clear" w:color="auto" w:fill="F8FAFC"/>
          </w:tcPr>
          <w:p>
            <w:r/>
            <w:r>
              <w:rPr>
                <w:rFonts w:ascii="Consolas" w:hAnsi="Consolas"/>
                <w:b/>
                <w:sz w:val="20"/>
              </w:rPr>
              <w:t>Product_Visibility_Rules</w:t>
            </w:r>
          </w:p>
        </w:tc>
        <w:tc>
          <w:tcPr>
            <w:tcW w:type="dxa" w:w="9648"/>
            <w:shd w:val="clear" w:color="auto" w:fill="F8FAFC"/>
          </w:tcPr>
          <w:p>
            <w:r>
              <w:t>Which product categories a buyer's role/profile can order — enforces corporate contracts (e.g., 'Facilities buyers may not order raw chemicals'). Feeds RESTRICTED_PRODUCT exceptions.</w:t>
            </w:r>
          </w:p>
        </w:tc>
      </w:tr>
      <w:tr>
        <w:tc>
          <w:tcPr>
            <w:tcW w:type="dxa" w:w="2736"/>
          </w:tcPr>
          <w:p>
            <w:r/>
            <w:r>
              <w:rPr>
                <w:b/>
                <w:color w:val="1F2A44"/>
                <w:sz w:val="20"/>
              </w:rPr>
              <w:t>product-master-data.xlsx</w:t>
              <w:br/>
            </w:r>
            <w:r>
              <w:rPr>
                <w:i/>
                <w:color w:val="1E7D44"/>
                <w:sz w:val="18"/>
              </w:rPr>
              <w:t>US-04 Product Matching &amp; UOM Conversion</w:t>
            </w:r>
          </w:p>
        </w:tc>
        <w:tc>
          <w:tcPr>
            <w:tcW w:type="dxa" w:w="2736"/>
          </w:tcPr>
          <w:p>
            <w:r/>
            <w:r>
              <w:rPr>
                <w:rFonts w:ascii="Consolas" w:hAnsi="Consolas"/>
                <w:b/>
                <w:sz w:val="20"/>
              </w:rPr>
              <w:t>Product_Master</w:t>
            </w:r>
          </w:p>
        </w:tc>
        <w:tc>
          <w:tcPr>
            <w:tcW w:type="dxa" w:w="9648"/>
          </w:tcPr>
          <w:p>
            <w:r>
              <w:t>SKU master — name, description, category, status (active / obsolete / discontinued), unit list price, weight, hazardous flag. Used to validate each ordered SKU exists and is still sellable (OBSOLETE_SKU / PRODUCT_CONFIG_EXCEPTION).</w:t>
            </w:r>
          </w:p>
        </w:tc>
      </w:tr>
      <w:tr>
        <w:tc>
          <w:tcPr>
            <w:tcW w:type="dxa" w:w="2736"/>
            <w:vMerge w:val="restart"/>
          </w:tcPr>
          <w:p/>
        </w:tc>
        <w:tc>
          <w:tcPr>
            <w:tcW w:type="dxa" w:w="2736"/>
          </w:tcPr>
          <w:p>
            <w:r/>
            <w:r>
              <w:rPr>
                <w:rFonts w:ascii="Consolas" w:hAnsi="Consolas"/>
                <w:b/>
                <w:sz w:val="20"/>
              </w:rPr>
              <w:t>Product_Attributes</w:t>
            </w:r>
          </w:p>
        </w:tc>
        <w:tc>
          <w:tcPr>
            <w:tcW w:type="dxa" w:w="9648"/>
          </w:tcPr>
          <w:p>
            <w:r>
              <w:t>Extended attributes such as finish, size, colour, spec. Used to render meaningful line-item descriptions and to power substitution logic.</w:t>
            </w:r>
          </w:p>
        </w:tc>
      </w:tr>
      <w:tr>
        <w:tc>
          <w:tcPr>
            <w:tcW w:type="dxa" w:w="4713"/>
            <w:vMerge/>
          </w:tcPr>
          <w:p/>
        </w:tc>
        <w:tc>
          <w:tcPr>
            <w:tcW w:type="dxa" w:w="2736"/>
          </w:tcPr>
          <w:p>
            <w:r/>
            <w:r>
              <w:rPr>
                <w:rFonts w:ascii="Consolas" w:hAnsi="Consolas"/>
                <w:b/>
                <w:sz w:val="20"/>
              </w:rPr>
              <w:t>UOM_Conversions</w:t>
            </w:r>
          </w:p>
        </w:tc>
        <w:tc>
          <w:tcPr>
            <w:tcW w:type="dxa" w:w="9648"/>
          </w:tcPr>
          <w:p>
            <w:r>
              <w:t>Conversion factors between units of measure (e.g., 1 CASE = 24 EA, 1 PALLET = 40 CASE). Used to normalize the customer's UOM to the vendor's stocking UOM (INVALID_UOM check when a mapping is missing).</w:t>
            </w:r>
          </w:p>
        </w:tc>
      </w:tr>
      <w:tr>
        <w:tc>
          <w:tcPr>
            <w:tcW w:type="dxa" w:w="4713"/>
            <w:vMerge/>
          </w:tcPr>
          <w:p/>
        </w:tc>
        <w:tc>
          <w:tcPr>
            <w:tcW w:type="dxa" w:w="2736"/>
          </w:tcPr>
          <w:p>
            <w:r/>
            <w:r>
              <w:rPr>
                <w:rFonts w:ascii="Consolas" w:hAnsi="Consolas"/>
                <w:b/>
                <w:sz w:val="20"/>
              </w:rPr>
              <w:t>Substitution_Rules</w:t>
            </w:r>
          </w:p>
        </w:tc>
        <w:tc>
          <w:tcPr>
            <w:tcW w:type="dxa" w:w="9648"/>
          </w:tcPr>
          <w:p>
            <w:r>
              <w:t>When an ordered SKU is obsolete or unavailable, this table names the recommended substitute. Powers the 'Recommend substitute SV-220' action shown in the Product Match stage.</w:t>
            </w:r>
          </w:p>
        </w:tc>
      </w:tr>
      <w:tr>
        <w:tc>
          <w:tcPr>
            <w:tcW w:type="dxa" w:w="4713"/>
            <w:vMerge/>
          </w:tcPr>
          <w:p/>
        </w:tc>
        <w:tc>
          <w:tcPr>
            <w:tcW w:type="dxa" w:w="2736"/>
          </w:tcPr>
          <w:p>
            <w:r/>
            <w:r>
              <w:rPr>
                <w:rFonts w:ascii="Consolas" w:hAnsi="Consolas"/>
                <w:b/>
                <w:sz w:val="20"/>
              </w:rPr>
              <w:t>Compatibility_Rules</w:t>
            </w:r>
          </w:p>
        </w:tc>
        <w:tc>
          <w:tcPr>
            <w:tcW w:type="dxa" w:w="9648"/>
          </w:tcPr>
          <w:p>
            <w:r>
              <w:t>Which SKUs cannot be ordered together and which SKUs must be ordered together (e.g., valve + cartridge kit). Used to protect the customer from placing an unusable order.</w:t>
            </w:r>
          </w:p>
        </w:tc>
      </w:tr>
      <w:tr>
        <w:tc>
          <w:tcPr>
            <w:tcW w:type="dxa" w:w="2736"/>
            <w:shd w:val="clear" w:color="auto" w:fill="F8FAFC"/>
          </w:tcPr>
          <w:p>
            <w:r/>
            <w:r>
              <w:rPr>
                <w:b/>
                <w:color w:val="1F2A44"/>
                <w:sz w:val="20"/>
              </w:rPr>
              <w:t>compliance-master-data.xlsx</w:t>
              <w:br/>
            </w:r>
            <w:r>
              <w:rPr>
                <w:i/>
                <w:color w:val="1E7D44"/>
                <w:sz w:val="18"/>
              </w:rPr>
              <w:t>US-05 Compliance &amp; Regulatory Checks</w:t>
            </w:r>
          </w:p>
        </w:tc>
        <w:tc>
          <w:tcPr>
            <w:tcW w:type="dxa" w:w="2736"/>
            <w:shd w:val="clear" w:color="auto" w:fill="F8FAFC"/>
          </w:tcPr>
          <w:p>
            <w:r/>
            <w:r>
              <w:rPr>
                <w:rFonts w:ascii="Consolas" w:hAnsi="Consolas"/>
                <w:b/>
                <w:sz w:val="20"/>
              </w:rPr>
              <w:t>Compliance_Rules</w:t>
            </w:r>
          </w:p>
        </w:tc>
        <w:tc>
          <w:tcPr>
            <w:tcW w:type="dxa" w:w="9648"/>
            <w:shd w:val="clear" w:color="auto" w:fill="F8FAFC"/>
          </w:tcPr>
          <w:p>
            <w:r>
              <w:t>The rulebook: which product categories are hazardous, which require SDS attachment, which require export licences. Used to decide what checks each order line must pass.</w:t>
            </w:r>
          </w:p>
        </w:tc>
      </w:tr>
      <w:tr>
        <w:tc>
          <w:tcPr>
            <w:tcW w:type="dxa" w:w="2736"/>
            <w:vMerge w:val="restart"/>
            <w:shd w:val="clear" w:color="auto" w:fill="F8FAFC"/>
          </w:tcPr>
          <w:p/>
        </w:tc>
        <w:tc>
          <w:tcPr>
            <w:tcW w:type="dxa" w:w="2736"/>
            <w:shd w:val="clear" w:color="auto" w:fill="F8FAFC"/>
          </w:tcPr>
          <w:p>
            <w:r/>
            <w:r>
              <w:rPr>
                <w:rFonts w:ascii="Consolas" w:hAnsi="Consolas"/>
                <w:b/>
                <w:sz w:val="20"/>
              </w:rPr>
              <w:t>Regional_Restrictions</w:t>
            </w:r>
          </w:p>
        </w:tc>
        <w:tc>
          <w:tcPr>
            <w:tcW w:type="dxa" w:w="9648"/>
            <w:shd w:val="clear" w:color="auto" w:fill="F8FAFC"/>
          </w:tcPr>
          <w:p>
            <w:r>
              <w:t>Which SKUs cannot ship to which regions or countries (Prop-65, state chemical bans, export controls). Feeds COMPLIANCE_RESTRICTION exceptions.</w:t>
            </w:r>
          </w:p>
        </w:tc>
      </w:tr>
      <w:tr>
        <w:tc>
          <w:tcPr>
            <w:tcW w:type="dxa" w:w="4713"/>
            <w:vMerge/>
            <w:shd w:val="clear" w:color="auto" w:fill="F8FAFC"/>
          </w:tcPr>
          <w:p/>
        </w:tc>
        <w:tc>
          <w:tcPr>
            <w:tcW w:type="dxa" w:w="2736"/>
            <w:shd w:val="clear" w:color="auto" w:fill="F8FAFC"/>
          </w:tcPr>
          <w:p>
            <w:r/>
            <w:r>
              <w:rPr>
                <w:rFonts w:ascii="Consolas" w:hAnsi="Consolas"/>
                <w:b/>
                <w:sz w:val="20"/>
              </w:rPr>
              <w:t>SDS_Repository</w:t>
            </w:r>
          </w:p>
        </w:tc>
        <w:tc>
          <w:tcPr>
            <w:tcW w:type="dxa" w:w="9648"/>
            <w:shd w:val="clear" w:color="auto" w:fill="F8FAFC"/>
          </w:tcPr>
          <w:p>
            <w:r>
              <w:t>Safety Data Sheet availability per SKU. Used to raise MISSING_SDS when a hazardous SKU is missing its current SDS document.</w:t>
            </w:r>
          </w:p>
        </w:tc>
      </w:tr>
      <w:tr>
        <w:tc>
          <w:tcPr>
            <w:tcW w:type="dxa" w:w="4713"/>
            <w:vMerge/>
            <w:shd w:val="clear" w:color="auto" w:fill="F8FAFC"/>
          </w:tcPr>
          <w:p/>
        </w:tc>
        <w:tc>
          <w:tcPr>
            <w:tcW w:type="dxa" w:w="2736"/>
            <w:shd w:val="clear" w:color="auto" w:fill="F8FAFC"/>
          </w:tcPr>
          <w:p>
            <w:r/>
            <w:r>
              <w:rPr>
                <w:rFonts w:ascii="Consolas" w:hAnsi="Consolas"/>
                <w:b/>
                <w:sz w:val="20"/>
              </w:rPr>
              <w:t>Product_Eligibility</w:t>
            </w:r>
          </w:p>
        </w:tc>
        <w:tc>
          <w:tcPr>
            <w:tcW w:type="dxa" w:w="9648"/>
            <w:shd w:val="clear" w:color="auto" w:fill="F8FAFC"/>
          </w:tcPr>
          <w:p>
            <w:r>
              <w:t>Whether a specific SKU is eligible for sale in a specific country / region / customer channel. Enforces distribution agreements.</w:t>
            </w:r>
          </w:p>
        </w:tc>
      </w:tr>
      <w:tr>
        <w:tc>
          <w:tcPr>
            <w:tcW w:type="dxa" w:w="2736"/>
          </w:tcPr>
          <w:p>
            <w:r/>
            <w:r>
              <w:rPr>
                <w:b/>
                <w:color w:val="1F2A44"/>
                <w:sz w:val="20"/>
              </w:rPr>
              <w:t>pricing-master-data.xlsx</w:t>
              <w:br/>
            </w:r>
            <w:r>
              <w:rPr>
                <w:i/>
                <w:color w:val="1E7D44"/>
                <w:sz w:val="18"/>
              </w:rPr>
              <w:t>US-06 Pricing &amp; Discount Waterfall</w:t>
            </w:r>
          </w:p>
        </w:tc>
        <w:tc>
          <w:tcPr>
            <w:tcW w:type="dxa" w:w="2736"/>
          </w:tcPr>
          <w:p>
            <w:r/>
            <w:r>
              <w:rPr>
                <w:rFonts w:ascii="Consolas" w:hAnsi="Consolas"/>
                <w:b/>
                <w:sz w:val="20"/>
              </w:rPr>
              <w:t>Price_List</w:t>
            </w:r>
          </w:p>
        </w:tc>
        <w:tc>
          <w:tcPr>
            <w:tcW w:type="dxa" w:w="9648"/>
          </w:tcPr>
          <w:p>
            <w:r>
              <w:t>The base list price for every SKU. The starting point for the pricing waterfall (the 'sticker price' before any discounts).</w:t>
            </w:r>
          </w:p>
        </w:tc>
      </w:tr>
      <w:tr>
        <w:tc>
          <w:tcPr>
            <w:tcW w:type="dxa" w:w="2736"/>
            <w:vMerge w:val="restart"/>
          </w:tcPr>
          <w:p/>
        </w:tc>
        <w:tc>
          <w:tcPr>
            <w:tcW w:type="dxa" w:w="2736"/>
          </w:tcPr>
          <w:p>
            <w:r/>
            <w:r>
              <w:rPr>
                <w:rFonts w:ascii="Consolas" w:hAnsi="Consolas"/>
                <w:b/>
                <w:sz w:val="20"/>
              </w:rPr>
              <w:t>Contracts</w:t>
            </w:r>
          </w:p>
        </w:tc>
        <w:tc>
          <w:tcPr>
            <w:tcW w:type="dxa" w:w="9648"/>
          </w:tcPr>
          <w:p>
            <w:r>
              <w:t>Customer-specific contract prices with validity dates. Overrides the list price during the contract term. Expired contracts fall back to list price (see US-06 expired-contract scenario).</w:t>
            </w:r>
          </w:p>
        </w:tc>
      </w:tr>
      <w:tr>
        <w:tc>
          <w:tcPr>
            <w:tcW w:type="dxa" w:w="4713"/>
            <w:vMerge/>
          </w:tcPr>
          <w:p/>
        </w:tc>
        <w:tc>
          <w:tcPr>
            <w:tcW w:type="dxa" w:w="2736"/>
          </w:tcPr>
          <w:p>
            <w:r/>
            <w:r>
              <w:rPr>
                <w:rFonts w:ascii="Consolas" w:hAnsi="Consolas"/>
                <w:b/>
                <w:sz w:val="20"/>
              </w:rPr>
              <w:t>Volume_Tiers</w:t>
            </w:r>
          </w:p>
        </w:tc>
        <w:tc>
          <w:tcPr>
            <w:tcW w:type="dxa" w:w="9648"/>
          </w:tcPr>
          <w:p>
            <w:r>
              <w:t>Quantity-based discount tiers (e.g., 100-499 = 3% off, 500-999 = 5%, 1000+ = 7%). Applied on top of contract price.</w:t>
            </w:r>
          </w:p>
        </w:tc>
      </w:tr>
      <w:tr>
        <w:tc>
          <w:tcPr>
            <w:tcW w:type="dxa" w:w="4713"/>
            <w:vMerge/>
          </w:tcPr>
          <w:p/>
        </w:tc>
        <w:tc>
          <w:tcPr>
            <w:tcW w:type="dxa" w:w="2736"/>
          </w:tcPr>
          <w:p>
            <w:r/>
            <w:r>
              <w:rPr>
                <w:rFonts w:ascii="Consolas" w:hAnsi="Consolas"/>
                <w:b/>
                <w:sz w:val="20"/>
              </w:rPr>
              <w:t>Rebates</w:t>
            </w:r>
          </w:p>
        </w:tc>
        <w:tc>
          <w:tcPr>
            <w:tcW w:type="dxa" w:w="9648"/>
          </w:tcPr>
          <w:p>
            <w:r>
              <w:t>Post-order rebate percentages by customer or period. Shown as line 5 of the price waterfall; does not change the invoice price but affects margin analytics.</w:t>
            </w:r>
          </w:p>
        </w:tc>
      </w:tr>
      <w:tr>
        <w:tc>
          <w:tcPr>
            <w:tcW w:type="dxa" w:w="4713"/>
            <w:vMerge/>
          </w:tcPr>
          <w:p/>
        </w:tc>
        <w:tc>
          <w:tcPr>
            <w:tcW w:type="dxa" w:w="2736"/>
          </w:tcPr>
          <w:p>
            <w:r/>
            <w:r>
              <w:rPr>
                <w:rFonts w:ascii="Consolas" w:hAnsi="Consolas"/>
                <w:b/>
                <w:sz w:val="20"/>
              </w:rPr>
              <w:t>Promotions</w:t>
            </w:r>
          </w:p>
        </w:tc>
        <w:tc>
          <w:tcPr>
            <w:tcW w:type="dxa" w:w="9648"/>
          </w:tcPr>
          <w:p>
            <w:r>
              <w:t>Time-bound promotional discounts (e.g., Q3 kitchen faucet promotion, 5% off through 30-Sep). Automatically expires.</w:t>
            </w:r>
          </w:p>
        </w:tc>
      </w:tr>
      <w:tr>
        <w:tc>
          <w:tcPr>
            <w:tcW w:type="dxa" w:w="4713"/>
            <w:vMerge/>
          </w:tcPr>
          <w:p/>
        </w:tc>
        <w:tc>
          <w:tcPr>
            <w:tcW w:type="dxa" w:w="2736"/>
          </w:tcPr>
          <w:p>
            <w:r/>
            <w:r>
              <w:rPr>
                <w:rFonts w:ascii="Consolas" w:hAnsi="Consolas"/>
                <w:b/>
                <w:sz w:val="20"/>
              </w:rPr>
              <w:t>Surcharges</w:t>
            </w:r>
          </w:p>
        </w:tc>
        <w:tc>
          <w:tcPr>
            <w:tcW w:type="dxa" w:w="9648"/>
          </w:tcPr>
          <w:p>
            <w:r>
              <w:t>Location-based, hazmat, or fuel surcharges applied to the freight line (e.g., +$25 remote-area surcharge for AK/HI ZIP codes).</w:t>
            </w:r>
          </w:p>
        </w:tc>
      </w:tr>
      <w:tr>
        <w:tc>
          <w:tcPr>
            <w:tcW w:type="dxa" w:w="4713"/>
            <w:vMerge/>
          </w:tcPr>
          <w:p/>
        </w:tc>
        <w:tc>
          <w:tcPr>
            <w:tcW w:type="dxa" w:w="2736"/>
          </w:tcPr>
          <w:p>
            <w:r/>
            <w:r>
              <w:rPr>
                <w:rFonts w:ascii="Consolas" w:hAnsi="Consolas"/>
                <w:b/>
                <w:sz w:val="20"/>
              </w:rPr>
              <w:t>Freight_Terms</w:t>
            </w:r>
          </w:p>
        </w:tc>
        <w:tc>
          <w:tcPr>
            <w:tcW w:type="dxa" w:w="9648"/>
          </w:tcPr>
          <w:p>
            <w:r>
              <w:t>Freight allowance rules per customer — FOB destination, prepaid &amp; add, freight-included, etc. Includes base freight, minimum freight, and per-KG rate so the AI can calculate the shipping charge for every order.</w:t>
            </w:r>
          </w:p>
        </w:tc>
      </w:tr>
      <w:tr>
        <w:tc>
          <w:tcPr>
            <w:tcW w:type="dxa" w:w="4713"/>
            <w:vMerge/>
          </w:tcPr>
          <w:p/>
        </w:tc>
        <w:tc>
          <w:tcPr>
            <w:tcW w:type="dxa" w:w="2736"/>
          </w:tcPr>
          <w:p>
            <w:r/>
            <w:r>
              <w:rPr>
                <w:rFonts w:ascii="Consolas" w:hAnsi="Consolas"/>
                <w:b/>
                <w:sz w:val="20"/>
              </w:rPr>
              <w:t>Tax_Rates</w:t>
            </w:r>
          </w:p>
        </w:tc>
        <w:tc>
          <w:tcPr>
            <w:tcW w:type="dxa" w:w="9648"/>
          </w:tcPr>
          <w:p>
            <w:r>
              <w:t>State-level (and country-level) sales tax / VAT rates keyed by region code. The pricing engine looks up the ship-to state and applies the correct tax percentage on (subtotal + surcharges); the resulting tax amount is shown on-screen and stored on the order.</w:t>
            </w:r>
          </w:p>
        </w:tc>
      </w:tr>
      <w:tr>
        <w:tc>
          <w:tcPr>
            <w:tcW w:type="dxa" w:w="4713"/>
            <w:vMerge/>
          </w:tcPr>
          <w:p/>
        </w:tc>
        <w:tc>
          <w:tcPr>
            <w:tcW w:type="dxa" w:w="2736"/>
          </w:tcPr>
          <w:p>
            <w:r/>
            <w:r>
              <w:rPr>
                <w:rFonts w:ascii="Consolas" w:hAnsi="Consolas"/>
                <w:b/>
                <w:sz w:val="20"/>
              </w:rPr>
              <w:t>Margin_Policy</w:t>
            </w:r>
          </w:p>
        </w:tc>
        <w:tc>
          <w:tcPr>
            <w:tcW w:type="dxa" w:w="9648"/>
          </w:tcPr>
          <w:p>
            <w:r>
              <w:t>The guardrails: minimum margin floor per product category. If the discount stack would push margin below the floor, the pricing engine raises PRICING_EXCEPTION and asks CSR to approve or reject.</w:t>
            </w:r>
          </w:p>
        </w:tc>
      </w:tr>
      <w:tr>
        <w:tc>
          <w:tcPr>
            <w:tcW w:type="dxa" w:w="4713"/>
            <w:vMerge/>
          </w:tcPr>
          <w:p/>
        </w:tc>
        <w:tc>
          <w:tcPr>
            <w:tcW w:type="dxa" w:w="2736"/>
          </w:tcPr>
          <w:p>
            <w:r/>
            <w:r>
              <w:rPr>
                <w:rFonts w:ascii="Consolas" w:hAnsi="Consolas"/>
                <w:b/>
                <w:sz w:val="20"/>
              </w:rPr>
              <w:t>Raw_Material_Index</w:t>
            </w:r>
          </w:p>
        </w:tc>
        <w:tc>
          <w:tcPr>
            <w:tcW w:type="dxa" w:w="9648"/>
          </w:tcPr>
          <w:p>
            <w:r>
              <w:t>Current raw material cost index (copper, brass, PVC). Feeds cost-plus recalculation of the margin floor when raw material costs move.</w:t>
            </w:r>
          </w:p>
        </w:tc>
      </w:tr>
      <w:tr>
        <w:tc>
          <w:tcPr>
            <w:tcW w:type="dxa" w:w="2736"/>
            <w:shd w:val="clear" w:color="auto" w:fill="F8FAFC"/>
          </w:tcPr>
          <w:p>
            <w:r/>
            <w:r>
              <w:rPr>
                <w:b/>
                <w:color w:val="1F2A44"/>
                <w:sz w:val="20"/>
              </w:rPr>
              <w:t>budget-master-data.xlsx</w:t>
              <w:br/>
            </w:r>
            <w:r>
              <w:rPr>
                <w:i/>
                <w:color w:val="1E7D44"/>
                <w:sz w:val="18"/>
              </w:rPr>
              <w:t>US-07 Budget Availability &amp; Approval Routing</w:t>
            </w:r>
          </w:p>
        </w:tc>
        <w:tc>
          <w:tcPr>
            <w:tcW w:type="dxa" w:w="2736"/>
            <w:shd w:val="clear" w:color="auto" w:fill="F8FAFC"/>
          </w:tcPr>
          <w:p>
            <w:r/>
            <w:r>
              <w:rPr>
                <w:rFonts w:ascii="Consolas" w:hAnsi="Consolas"/>
                <w:b/>
                <w:sz w:val="20"/>
              </w:rPr>
              <w:t>Budget_Master</w:t>
            </w:r>
          </w:p>
        </w:tc>
        <w:tc>
          <w:tcPr>
            <w:tcW w:type="dxa" w:w="9648"/>
            <w:shd w:val="clear" w:color="auto" w:fill="F8FAFC"/>
          </w:tcPr>
          <w:p>
            <w:r>
              <w:t>Approved budget per cost center or department for the current period, plus remaining balance. Used to check the order does not overrun the budget (BUDGET_EXCEEDED exception).</w:t>
            </w:r>
          </w:p>
        </w:tc>
      </w:tr>
      <w:tr>
        <w:tc>
          <w:tcPr>
            <w:tcW w:type="dxa" w:w="2736"/>
            <w:vMerge w:val="restart"/>
            <w:shd w:val="clear" w:color="auto" w:fill="F8FAFC"/>
          </w:tcPr>
          <w:p/>
        </w:tc>
        <w:tc>
          <w:tcPr>
            <w:tcW w:type="dxa" w:w="2736"/>
            <w:shd w:val="clear" w:color="auto" w:fill="F8FAFC"/>
          </w:tcPr>
          <w:p>
            <w:r/>
            <w:r>
              <w:rPr>
                <w:rFonts w:ascii="Consolas" w:hAnsi="Consolas"/>
                <w:b/>
                <w:sz w:val="20"/>
              </w:rPr>
              <w:t>Cost_Centers</w:t>
            </w:r>
          </w:p>
        </w:tc>
        <w:tc>
          <w:tcPr>
            <w:tcW w:type="dxa" w:w="9648"/>
            <w:shd w:val="clear" w:color="auto" w:fill="F8FAFC"/>
          </w:tcPr>
          <w:p>
            <w:r>
              <w:t>Cost center master used for lookups (mirrors the copy in buyer-master-data). Confirms the payer entity exists and is active.</w:t>
            </w:r>
          </w:p>
        </w:tc>
      </w:tr>
      <w:tr>
        <w:tc>
          <w:tcPr>
            <w:tcW w:type="dxa" w:w="4713"/>
            <w:vMerge/>
            <w:shd w:val="clear" w:color="auto" w:fill="F8FAFC"/>
          </w:tcPr>
          <w:p/>
        </w:tc>
        <w:tc>
          <w:tcPr>
            <w:tcW w:type="dxa" w:w="2736"/>
            <w:shd w:val="clear" w:color="auto" w:fill="F8FAFC"/>
          </w:tcPr>
          <w:p>
            <w:r/>
            <w:r>
              <w:rPr>
                <w:rFonts w:ascii="Consolas" w:hAnsi="Consolas"/>
                <w:b/>
                <w:sz w:val="20"/>
              </w:rPr>
              <w:t>Approval_Matrix</w:t>
            </w:r>
          </w:p>
        </w:tc>
        <w:tc>
          <w:tcPr>
            <w:tcW w:type="dxa" w:w="9648"/>
            <w:shd w:val="clear" w:color="auto" w:fill="F8FAFC"/>
          </w:tcPr>
          <w:p>
            <w:r>
              <w:t>Order-value thresholds and who approves at each tier (e.g., &lt; $10k self-approve, $10k-$100k branch manager, $100k-$1M regional director, &gt; $1M CFO). Drives the APPROVAL_REQUIRED routing.</w:t>
            </w:r>
          </w:p>
        </w:tc>
      </w:tr>
      <w:tr>
        <w:tc>
          <w:tcPr>
            <w:tcW w:type="dxa" w:w="4713"/>
            <w:vMerge/>
            <w:shd w:val="clear" w:color="auto" w:fill="F8FAFC"/>
          </w:tcPr>
          <w:p/>
        </w:tc>
        <w:tc>
          <w:tcPr>
            <w:tcW w:type="dxa" w:w="2736"/>
            <w:shd w:val="clear" w:color="auto" w:fill="F8FAFC"/>
          </w:tcPr>
          <w:p>
            <w:r/>
            <w:r>
              <w:rPr>
                <w:rFonts w:ascii="Consolas" w:hAnsi="Consolas"/>
                <w:b/>
                <w:sz w:val="20"/>
              </w:rPr>
              <w:t>Buyer_Authority</w:t>
            </w:r>
          </w:p>
        </w:tc>
        <w:tc>
          <w:tcPr>
            <w:tcW w:type="dxa" w:w="9648"/>
            <w:shd w:val="clear" w:color="auto" w:fill="F8FAFC"/>
          </w:tcPr>
          <w:p>
            <w:r>
              <w:t>Each buyer's individual self-approval limit — may be tighter than the default tier for that buyer's cost center. The tighter of the two wins.</w:t>
            </w:r>
          </w:p>
        </w:tc>
      </w:tr>
      <w:tr>
        <w:tc>
          <w:tcPr>
            <w:tcW w:type="dxa" w:w="4713"/>
            <w:vMerge/>
            <w:shd w:val="clear" w:color="auto" w:fill="F8FAFC"/>
          </w:tcPr>
          <w:p/>
        </w:tc>
        <w:tc>
          <w:tcPr>
            <w:tcW w:type="dxa" w:w="2736"/>
            <w:shd w:val="clear" w:color="auto" w:fill="F8FAFC"/>
          </w:tcPr>
          <w:p>
            <w:r/>
            <w:r>
              <w:rPr>
                <w:rFonts w:ascii="Consolas" w:hAnsi="Consolas"/>
                <w:b/>
                <w:sz w:val="20"/>
              </w:rPr>
              <w:t>Approvers</w:t>
            </w:r>
          </w:p>
        </w:tc>
        <w:tc>
          <w:tcPr>
            <w:tcW w:type="dxa" w:w="9648"/>
            <w:shd w:val="clear" w:color="auto" w:fill="F8FAFC"/>
          </w:tcPr>
          <w:p>
            <w:r>
              <w:t>Names and email addresses of approvers per role and level. Used to populate the 'Approval email sent to' line and audit trail.</w:t>
            </w:r>
          </w:p>
        </w:tc>
      </w:tr>
      <w:tr>
        <w:tc>
          <w:tcPr>
            <w:tcW w:type="dxa" w:w="2736"/>
          </w:tcPr>
          <w:p>
            <w:r/>
            <w:r>
              <w:rPr>
                <w:b/>
                <w:color w:val="1F2A44"/>
                <w:sz w:val="20"/>
              </w:rPr>
              <w:t>credit-master-data.xlsx</w:t>
              <w:br/>
            </w:r>
            <w:r>
              <w:rPr>
                <w:i/>
                <w:color w:val="1E7D44"/>
                <w:sz w:val="18"/>
              </w:rPr>
              <w:t>US-08 Credit Check &amp; Payment Terms</w:t>
            </w:r>
          </w:p>
        </w:tc>
        <w:tc>
          <w:tcPr>
            <w:tcW w:type="dxa" w:w="2736"/>
          </w:tcPr>
          <w:p>
            <w:r/>
            <w:r>
              <w:rPr>
                <w:rFonts w:ascii="Consolas" w:hAnsi="Consolas"/>
                <w:b/>
                <w:sz w:val="20"/>
              </w:rPr>
              <w:t>Credit_Master</w:t>
            </w:r>
          </w:p>
        </w:tc>
        <w:tc>
          <w:tcPr>
            <w:tcW w:type="dxa" w:w="9648"/>
          </w:tcPr>
          <w:p>
            <w:r>
              <w:t>Credit limit and available credit per customer account. Used to check the new order does not push the customer over their limit (CREDIT_HOLD exception).</w:t>
            </w:r>
          </w:p>
        </w:tc>
      </w:tr>
      <w:tr>
        <w:tc>
          <w:tcPr>
            <w:tcW w:type="dxa" w:w="2736"/>
            <w:vMerge w:val="restart"/>
          </w:tcPr>
          <w:p/>
        </w:tc>
        <w:tc>
          <w:tcPr>
            <w:tcW w:type="dxa" w:w="2736"/>
          </w:tcPr>
          <w:p>
            <w:r/>
            <w:r>
              <w:rPr>
                <w:rFonts w:ascii="Consolas" w:hAnsi="Consolas"/>
                <w:b/>
                <w:sz w:val="20"/>
              </w:rPr>
              <w:t>Invoice_Aging</w:t>
            </w:r>
          </w:p>
        </w:tc>
        <w:tc>
          <w:tcPr>
            <w:tcW w:type="dxa" w:w="9648"/>
          </w:tcPr>
          <w:p>
            <w:r>
              <w:t>Overdue invoice buckets per customer (0-30, 31-60, 61-90, 90+ days). Aged debt reduces available credit and may trigger a hold even when the raw limit still has room.</w:t>
            </w:r>
          </w:p>
        </w:tc>
      </w:tr>
      <w:tr>
        <w:tc>
          <w:tcPr>
            <w:tcW w:type="dxa" w:w="4713"/>
            <w:vMerge/>
          </w:tcPr>
          <w:p/>
        </w:tc>
        <w:tc>
          <w:tcPr>
            <w:tcW w:type="dxa" w:w="2736"/>
          </w:tcPr>
          <w:p>
            <w:r/>
            <w:r>
              <w:rPr>
                <w:rFonts w:ascii="Consolas" w:hAnsi="Consolas"/>
                <w:b/>
                <w:sz w:val="20"/>
              </w:rPr>
              <w:t>Payment_History</w:t>
            </w:r>
          </w:p>
        </w:tc>
        <w:tc>
          <w:tcPr>
            <w:tcW w:type="dxa" w:w="9648"/>
          </w:tcPr>
          <w:p>
            <w:r>
              <w:t>Historical payment behaviour per customer — on-time rate, average days-to-pay, recent chargebacks. Signals risk trends to the credit analyst.</w:t>
            </w:r>
          </w:p>
        </w:tc>
      </w:tr>
      <w:tr>
        <w:tc>
          <w:tcPr>
            <w:tcW w:type="dxa" w:w="4713"/>
            <w:vMerge/>
          </w:tcPr>
          <w:p/>
        </w:tc>
        <w:tc>
          <w:tcPr>
            <w:tcW w:type="dxa" w:w="2736"/>
          </w:tcPr>
          <w:p>
            <w:r/>
            <w:r>
              <w:rPr>
                <w:rFonts w:ascii="Consolas" w:hAnsi="Consolas"/>
                <w:b/>
                <w:sz w:val="20"/>
              </w:rPr>
              <w:t>Payment_Terms</w:t>
            </w:r>
          </w:p>
        </w:tc>
        <w:tc>
          <w:tcPr>
            <w:tcW w:type="dxa" w:w="9648"/>
          </w:tcPr>
          <w:p>
            <w:r>
              <w:t>Standard payment terms per customer (Net 15 / Net 30 / Net 45 / Net 60 / Prepaid / Letter of Credit). Shown on the customer order confirmation and used by the invoicing system.</w:t>
            </w:r>
          </w:p>
        </w:tc>
      </w:tr>
      <w:tr>
        <w:tc>
          <w:tcPr>
            <w:tcW w:type="dxa" w:w="4713"/>
            <w:vMerge/>
          </w:tcPr>
          <w:p/>
        </w:tc>
        <w:tc>
          <w:tcPr>
            <w:tcW w:type="dxa" w:w="2736"/>
          </w:tcPr>
          <w:p>
            <w:r/>
            <w:r>
              <w:rPr>
                <w:rFonts w:ascii="Consolas" w:hAnsi="Consolas"/>
                <w:b/>
                <w:sz w:val="20"/>
              </w:rPr>
              <w:t>Risk_Signals</w:t>
            </w:r>
          </w:p>
        </w:tc>
        <w:tc>
          <w:tcPr>
            <w:tcW w:type="dxa" w:w="9648"/>
          </w:tcPr>
          <w:p>
            <w:r>
              <w:t>Watch-list customers, industry-wide risk flags, fraud signals. Overrides otherwise-clean credit and routes the order to the credit team for manual review.</w:t>
            </w:r>
          </w:p>
        </w:tc>
      </w:tr>
      <w:tr>
        <w:tc>
          <w:tcPr>
            <w:tcW w:type="dxa" w:w="2736"/>
            <w:shd w:val="clear" w:color="auto" w:fill="F8FAFC"/>
          </w:tcPr>
          <w:p>
            <w:r/>
            <w:r>
              <w:rPr>
                <w:b/>
                <w:color w:val="1F2A44"/>
                <w:sz w:val="20"/>
              </w:rPr>
              <w:t>inventory-master-data.xlsx</w:t>
              <w:br/>
            </w:r>
            <w:r>
              <w:rPr>
                <w:i/>
                <w:color w:val="1E7D44"/>
                <w:sz w:val="18"/>
              </w:rPr>
              <w:t>US-09 Inventory, ATP &amp; Allocation</w:t>
            </w:r>
          </w:p>
        </w:tc>
        <w:tc>
          <w:tcPr>
            <w:tcW w:type="dxa" w:w="2736"/>
            <w:shd w:val="clear" w:color="auto" w:fill="F8FAFC"/>
          </w:tcPr>
          <w:p>
            <w:r/>
            <w:r>
              <w:rPr>
                <w:rFonts w:ascii="Consolas" w:hAnsi="Consolas"/>
                <w:b/>
                <w:sz w:val="20"/>
              </w:rPr>
              <w:t>Plant_Stock</w:t>
            </w:r>
          </w:p>
        </w:tc>
        <w:tc>
          <w:tcPr>
            <w:tcW w:type="dxa" w:w="9648"/>
            <w:shd w:val="clear" w:color="auto" w:fill="F8FAFC"/>
          </w:tcPr>
          <w:p>
            <w:r>
              <w:t>Stock at manufacturing plants (upstream supply). Not directly shippable to customers but feeds ATP for future replenishment windows.</w:t>
            </w:r>
          </w:p>
        </w:tc>
      </w:tr>
      <w:tr>
        <w:tc>
          <w:tcPr>
            <w:tcW w:type="dxa" w:w="2736"/>
            <w:vMerge w:val="restart"/>
            <w:shd w:val="clear" w:color="auto" w:fill="F8FAFC"/>
          </w:tcPr>
          <w:p/>
        </w:tc>
        <w:tc>
          <w:tcPr>
            <w:tcW w:type="dxa" w:w="2736"/>
            <w:shd w:val="clear" w:color="auto" w:fill="F8FAFC"/>
          </w:tcPr>
          <w:p>
            <w:r/>
            <w:r>
              <w:rPr>
                <w:rFonts w:ascii="Consolas" w:hAnsi="Consolas"/>
                <w:b/>
                <w:sz w:val="20"/>
              </w:rPr>
              <w:t>DC_Stock</w:t>
            </w:r>
          </w:p>
        </w:tc>
        <w:tc>
          <w:tcPr>
            <w:tcW w:type="dxa" w:w="9648"/>
            <w:shd w:val="clear" w:color="auto" w:fill="F8FAFC"/>
          </w:tcPr>
          <w:p>
            <w:r>
              <w:t>Distribution centre on-hand quantity and quantity already reserved for other demand. Allocatable stock = on-hand minus reserved. The single most important table for the inventory stage.</w:t>
            </w:r>
          </w:p>
        </w:tc>
      </w:tr>
      <w:tr>
        <w:tc>
          <w:tcPr>
            <w:tcW w:type="dxa" w:w="4713"/>
            <w:vMerge/>
            <w:shd w:val="clear" w:color="auto" w:fill="F8FAFC"/>
          </w:tcPr>
          <w:p/>
        </w:tc>
        <w:tc>
          <w:tcPr>
            <w:tcW w:type="dxa" w:w="2736"/>
            <w:shd w:val="clear" w:color="auto" w:fill="F8FAFC"/>
          </w:tcPr>
          <w:p>
            <w:r/>
            <w:r>
              <w:rPr>
                <w:rFonts w:ascii="Consolas" w:hAnsi="Consolas"/>
                <w:b/>
                <w:sz w:val="20"/>
              </w:rPr>
              <w:t>In_Transit</w:t>
            </w:r>
          </w:p>
        </w:tc>
        <w:tc>
          <w:tcPr>
            <w:tcW w:type="dxa" w:w="9648"/>
            <w:shd w:val="clear" w:color="auto" w:fill="F8FAFC"/>
          </w:tcPr>
          <w:p>
            <w:r>
              <w:t>Inventory currently in transit between plants and DCs, with expected arrival date. Added to ATP for orders whose requested-delivery-date is on or after the in-transit ETA.</w:t>
            </w:r>
          </w:p>
        </w:tc>
      </w:tr>
      <w:tr>
        <w:tc>
          <w:tcPr>
            <w:tcW w:type="dxa" w:w="4713"/>
            <w:vMerge/>
            <w:shd w:val="clear" w:color="auto" w:fill="F8FAFC"/>
          </w:tcPr>
          <w:p/>
        </w:tc>
        <w:tc>
          <w:tcPr>
            <w:tcW w:type="dxa" w:w="2736"/>
            <w:shd w:val="clear" w:color="auto" w:fill="F8FAFC"/>
          </w:tcPr>
          <w:p>
            <w:r/>
            <w:r>
              <w:rPr>
                <w:rFonts w:ascii="Consolas" w:hAnsi="Consolas"/>
                <w:b/>
                <w:sz w:val="20"/>
              </w:rPr>
              <w:t>ATP</w:t>
            </w:r>
          </w:p>
        </w:tc>
        <w:tc>
          <w:tcPr>
            <w:tcW w:type="dxa" w:w="9648"/>
            <w:shd w:val="clear" w:color="auto" w:fill="F8FAFC"/>
          </w:tcPr>
          <w:p>
            <w:r>
              <w:t>Available-to-promise per SKU — the aggregated 'what can we actually commit right now' view combining on-hand, in-transit, and reserved. Cited in the sourcing plan shown to the customer.</w:t>
            </w:r>
          </w:p>
        </w:tc>
      </w:tr>
      <w:tr>
        <w:tc>
          <w:tcPr>
            <w:tcW w:type="dxa" w:w="4713"/>
            <w:vMerge/>
            <w:shd w:val="clear" w:color="auto" w:fill="F8FAFC"/>
          </w:tcPr>
          <w:p/>
        </w:tc>
        <w:tc>
          <w:tcPr>
            <w:tcW w:type="dxa" w:w="2736"/>
            <w:shd w:val="clear" w:color="auto" w:fill="F8FAFC"/>
          </w:tcPr>
          <w:p>
            <w:r/>
            <w:r>
              <w:rPr>
                <w:rFonts w:ascii="Consolas" w:hAnsi="Consolas"/>
                <w:b/>
                <w:sz w:val="20"/>
              </w:rPr>
              <w:t>Allocation_Rules</w:t>
            </w:r>
          </w:p>
        </w:tc>
        <w:tc>
          <w:tcPr>
            <w:tcW w:type="dxa" w:w="9648"/>
            <w:shd w:val="clear" w:color="auto" w:fill="F8FAFC"/>
          </w:tcPr>
          <w:p>
            <w:r>
              <w:t>When stock is constrained and multiple orders compete for the same SKU, this table decides who wins by customer tier (GOLD &gt; SILVER &gt; BRONZE). Drives ALLOCATION_CONFLICT decisions.</w:t>
            </w:r>
          </w:p>
        </w:tc>
      </w:tr>
      <w:tr>
        <w:tc>
          <w:tcPr>
            <w:tcW w:type="dxa" w:w="4713"/>
            <w:vMerge/>
            <w:shd w:val="clear" w:color="auto" w:fill="F8FAFC"/>
          </w:tcPr>
          <w:p/>
        </w:tc>
        <w:tc>
          <w:tcPr>
            <w:tcW w:type="dxa" w:w="2736"/>
            <w:shd w:val="clear" w:color="auto" w:fill="F8FAFC"/>
          </w:tcPr>
          <w:p>
            <w:r/>
            <w:r>
              <w:rPr>
                <w:rFonts w:ascii="Consolas" w:hAnsi="Consolas"/>
                <w:b/>
                <w:sz w:val="20"/>
              </w:rPr>
              <w:t>Fulfillment_Preferences</w:t>
            </w:r>
          </w:p>
        </w:tc>
        <w:tc>
          <w:tcPr>
            <w:tcW w:type="dxa" w:w="9648"/>
            <w:shd w:val="clear" w:color="auto" w:fill="F8FAFC"/>
          </w:tcPr>
          <w:p>
            <w:r>
              <w:t>Legacy customer-level fulfillment overrides. Modern rules live in customer-master-data.Fulfillment_Rules; this table remains for backwards compatibility.</w:t>
            </w:r>
          </w:p>
        </w:tc>
      </w:tr>
      <w:tr>
        <w:tc>
          <w:tcPr>
            <w:tcW w:type="dxa" w:w="2736"/>
          </w:tcPr>
          <w:p>
            <w:r/>
            <w:r>
              <w:rPr>
                <w:b/>
                <w:color w:val="1F2A44"/>
                <w:sz w:val="20"/>
              </w:rPr>
              <w:t>logistics-master-data.xlsx</w:t>
              <w:br/>
            </w:r>
            <w:r>
              <w:rPr>
                <w:i/>
                <w:color w:val="1E7D44"/>
                <w:sz w:val="18"/>
              </w:rPr>
              <w:t>US-10 Fulfillment Optimization, Logistics &amp; Delivery SLA</w:t>
            </w:r>
          </w:p>
        </w:tc>
        <w:tc>
          <w:tcPr>
            <w:tcW w:type="dxa" w:w="2736"/>
          </w:tcPr>
          <w:p>
            <w:r/>
            <w:r>
              <w:rPr>
                <w:rFonts w:ascii="Consolas" w:hAnsi="Consolas"/>
                <w:b/>
                <w:sz w:val="20"/>
              </w:rPr>
              <w:t>Carrier_Coverage</w:t>
            </w:r>
          </w:p>
        </w:tc>
        <w:tc>
          <w:tcPr>
            <w:tcW w:type="dxa" w:w="9648"/>
          </w:tcPr>
          <w:p>
            <w:r>
              <w:t>Which carriers service which ZIP prefixes with what service level (GROUND / EXPRESS) and transit days. Used first to confirm the ship-to ZIP is serviceable at all (ZIP_NOT_SERVICEABLE exception).</w:t>
            </w:r>
          </w:p>
        </w:tc>
      </w:tr>
      <w:tr>
        <w:tc>
          <w:tcPr>
            <w:tcW w:type="dxa" w:w="2736"/>
            <w:vMerge w:val="restart"/>
          </w:tcPr>
          <w:p/>
        </w:tc>
        <w:tc>
          <w:tcPr>
            <w:tcW w:type="dxa" w:w="2736"/>
          </w:tcPr>
          <w:p>
            <w:r/>
            <w:r>
              <w:rPr>
                <w:rFonts w:ascii="Consolas" w:hAnsi="Consolas"/>
                <w:b/>
                <w:sz w:val="20"/>
              </w:rPr>
              <w:t>Freight_Rating</w:t>
            </w:r>
          </w:p>
        </w:tc>
        <w:tc>
          <w:tcPr>
            <w:tcW w:type="dxa" w:w="9648"/>
          </w:tcPr>
          <w:p>
            <w:r>
              <w:t>Freight cost per carrier per zone per weight band (base rate + per-kg rate). The optimization stage rates every candidate plan (preferred DC, alternate DC, split) against this table and picks the cheapest feasible plan.</w:t>
            </w:r>
          </w:p>
        </w:tc>
      </w:tr>
      <w:tr>
        <w:tc>
          <w:tcPr>
            <w:tcW w:type="dxa" w:w="4713"/>
            <w:vMerge/>
          </w:tcPr>
          <w:p/>
        </w:tc>
        <w:tc>
          <w:tcPr>
            <w:tcW w:type="dxa" w:w="2736"/>
          </w:tcPr>
          <w:p>
            <w:r/>
            <w:r>
              <w:rPr>
                <w:rFonts w:ascii="Consolas" w:hAnsi="Consolas"/>
                <w:b/>
                <w:sz w:val="20"/>
              </w:rPr>
              <w:t>SLA_Rules</w:t>
            </w:r>
          </w:p>
        </w:tc>
        <w:tc>
          <w:tcPr>
            <w:tcW w:type="dxa" w:w="9648"/>
          </w:tcPr>
          <w:p>
            <w:r>
              <w:t>Delivery SLA commitments per customer tier — maximum transit days and on-time target percentage. Any candidate plan whose transit exceeds the SLA is rejected.</w:t>
            </w:r>
          </w:p>
        </w:tc>
      </w:tr>
      <w:tr>
        <w:tc>
          <w:tcPr>
            <w:tcW w:type="dxa" w:w="4713"/>
            <w:vMerge/>
          </w:tcPr>
          <w:p/>
        </w:tc>
        <w:tc>
          <w:tcPr>
            <w:tcW w:type="dxa" w:w="2736"/>
          </w:tcPr>
          <w:p>
            <w:r/>
            <w:r>
              <w:rPr>
                <w:rFonts w:ascii="Consolas" w:hAnsi="Consolas"/>
                <w:b/>
                <w:sz w:val="20"/>
              </w:rPr>
              <w:t>Warehouse_Master</w:t>
            </w:r>
          </w:p>
        </w:tc>
        <w:tc>
          <w:tcPr>
            <w:tcW w:type="dxa" w:w="9648"/>
          </w:tcPr>
          <w:p>
            <w:r>
              <w:t>Master list of warehouses / DCs — name, ZIP, region, capacity, cutoff time, supported carriers, hazmat capability. Used to compute origin-to-destination zones for freight rating.</w:t>
            </w:r>
          </w:p>
        </w:tc>
      </w:tr>
      <w:tr>
        <w:tc>
          <w:tcPr>
            <w:tcW w:type="dxa" w:w="4713"/>
            <w:vMerge/>
          </w:tcPr>
          <w:p/>
        </w:tc>
        <w:tc>
          <w:tcPr>
            <w:tcW w:type="dxa" w:w="2736"/>
          </w:tcPr>
          <w:p>
            <w:r/>
            <w:r>
              <w:rPr>
                <w:rFonts w:ascii="Consolas" w:hAnsi="Consolas"/>
                <w:b/>
                <w:sz w:val="20"/>
              </w:rPr>
              <w:t>Delivery_Calendar</w:t>
            </w:r>
          </w:p>
        </w:tc>
        <w:tc>
          <w:tcPr>
            <w:tcW w:type="dxa" w:w="9648"/>
          </w:tcPr>
          <w:p>
            <w:r>
              <w:t>Ship days, cutoff times, and holiday closures per warehouse. Used to compute a realistic ETA (skipping weekends and holidays).</w:t>
            </w:r>
          </w:p>
        </w:tc>
      </w:tr>
      <w:tr>
        <w:tc>
          <w:tcPr>
            <w:tcW w:type="dxa" w:w="2736"/>
            <w:shd w:val="clear" w:color="auto" w:fill="F8FAFC"/>
          </w:tcPr>
          <w:p>
            <w:r/>
            <w:r>
              <w:rPr>
                <w:b/>
                <w:color w:val="1F2A44"/>
                <w:sz w:val="20"/>
              </w:rPr>
              <w:t>exception-governance-master-data.xlsx</w:t>
              <w:br/>
            </w:r>
            <w:r>
              <w:rPr>
                <w:i/>
                <w:color w:val="1E7D44"/>
                <w:sz w:val="18"/>
              </w:rPr>
              <w:t>US-11 Exception Governance &amp; Routing</w:t>
            </w:r>
          </w:p>
        </w:tc>
        <w:tc>
          <w:tcPr>
            <w:tcW w:type="dxa" w:w="2736"/>
            <w:shd w:val="clear" w:color="auto" w:fill="F8FAFC"/>
          </w:tcPr>
          <w:p>
            <w:r/>
            <w:r>
              <w:rPr>
                <w:rFonts w:ascii="Consolas" w:hAnsi="Consolas"/>
                <w:b/>
                <w:sz w:val="20"/>
              </w:rPr>
              <w:t>Severity_Matrix</w:t>
            </w:r>
          </w:p>
        </w:tc>
        <w:tc>
          <w:tcPr>
            <w:tcW w:type="dxa" w:w="9648"/>
            <w:shd w:val="clear" w:color="auto" w:fill="F8FAFC"/>
          </w:tcPr>
          <w:p>
            <w:r>
              <w:t>Every exception type mapped to a severity band — CRITICAL / HIGH / MEDIUM / LOW. Drives colour coding, alerting, and escalation.</w:t>
            </w:r>
          </w:p>
        </w:tc>
      </w:tr>
      <w:tr>
        <w:tc>
          <w:tcPr>
            <w:tcW w:type="dxa" w:w="2736"/>
            <w:vMerge w:val="restart"/>
            <w:shd w:val="clear" w:color="auto" w:fill="F8FAFC"/>
          </w:tcPr>
          <w:p/>
        </w:tc>
        <w:tc>
          <w:tcPr>
            <w:tcW w:type="dxa" w:w="2736"/>
            <w:shd w:val="clear" w:color="auto" w:fill="F8FAFC"/>
          </w:tcPr>
          <w:p>
            <w:r/>
            <w:r>
              <w:rPr>
                <w:rFonts w:ascii="Consolas" w:hAnsi="Consolas"/>
                <w:b/>
                <w:sz w:val="20"/>
              </w:rPr>
              <w:t>Role_Routing</w:t>
            </w:r>
          </w:p>
        </w:tc>
        <w:tc>
          <w:tcPr>
            <w:tcW w:type="dxa" w:w="9648"/>
            <w:shd w:val="clear" w:color="auto" w:fill="F8FAFC"/>
          </w:tcPr>
          <w:p>
            <w:r>
              <w:t>Which human role owns each exception type (e.g., CREDIT_HOLD -&gt; Credit Analyst, COMPLIANCE_RESTRICTION -&gt; Compliance Officer, PRICING_EXCEPTION -&gt; Pricing Manager, INVENTORY_SHORTAGE -&gt; CSR). Determines who receives the notification.</w:t>
            </w:r>
          </w:p>
        </w:tc>
      </w:tr>
      <w:tr>
        <w:tc>
          <w:tcPr>
            <w:tcW w:type="dxa" w:w="4713"/>
            <w:vMerge/>
            <w:shd w:val="clear" w:color="auto" w:fill="F8FAFC"/>
          </w:tcPr>
          <w:p/>
        </w:tc>
        <w:tc>
          <w:tcPr>
            <w:tcW w:type="dxa" w:w="2736"/>
            <w:shd w:val="clear" w:color="auto" w:fill="F8FAFC"/>
          </w:tcPr>
          <w:p>
            <w:r/>
            <w:r>
              <w:rPr>
                <w:rFonts w:ascii="Consolas" w:hAnsi="Consolas"/>
                <w:b/>
                <w:sz w:val="20"/>
              </w:rPr>
              <w:t>SLA_Thresholds</w:t>
            </w:r>
          </w:p>
        </w:tc>
        <w:tc>
          <w:tcPr>
            <w:tcW w:type="dxa" w:w="9648"/>
            <w:shd w:val="clear" w:color="auto" w:fill="F8FAFC"/>
          </w:tcPr>
          <w:p>
            <w:r>
              <w:t>Response-time SLA per role per severity (e.g., a CRITICAL exception must be responded to within 30 min; LOW within 2 business days). Feeds escalation timers.</w:t>
            </w:r>
          </w:p>
        </w:tc>
      </w:tr>
      <w:tr>
        <w:tc>
          <w:tcPr>
            <w:tcW w:type="dxa" w:w="2736"/>
          </w:tcPr>
          <w:p>
            <w:r/>
            <w:r>
              <w:rPr>
                <w:b/>
                <w:color w:val="1F2A44"/>
                <w:sz w:val="20"/>
              </w:rPr>
              <w:t>execution-master-data.xlsx</w:t>
              <w:br/>
            </w:r>
            <w:r>
              <w:rPr>
                <w:i/>
                <w:color w:val="1E7D44"/>
                <w:sz w:val="18"/>
              </w:rPr>
              <w:t>US-12 Order Execution &amp; Confirmation</w:t>
            </w:r>
          </w:p>
        </w:tc>
        <w:tc>
          <w:tcPr>
            <w:tcW w:type="dxa" w:w="2736"/>
          </w:tcPr>
          <w:p>
            <w:r/>
            <w:r>
              <w:rPr>
                <w:rFonts w:ascii="Consolas" w:hAnsi="Consolas"/>
                <w:b/>
                <w:sz w:val="20"/>
              </w:rPr>
              <w:t>Integration_Endpoints</w:t>
            </w:r>
          </w:p>
        </w:tc>
        <w:tc>
          <w:tcPr>
            <w:tcW w:type="dxa" w:w="9648"/>
          </w:tcPr>
          <w:p>
            <w:r>
              <w:t>Downstream system URLs (ERP, OMS, WMS, TMS, SMTP) that the execution stage calls to create the sales order, pick ticket, shipment, and send the customer confirmation email.</w:t>
            </w:r>
          </w:p>
        </w:tc>
      </w:tr>
      <w:tr>
        <w:tc>
          <w:tcPr>
            <w:tcW w:type="dxa" w:w="2736"/>
            <w:vMerge w:val="restart"/>
          </w:tcPr>
          <w:p/>
        </w:tc>
        <w:tc>
          <w:tcPr>
            <w:tcW w:type="dxa" w:w="2736"/>
          </w:tcPr>
          <w:p>
            <w:r/>
            <w:r>
              <w:rPr>
                <w:rFonts w:ascii="Consolas" w:hAnsi="Consolas"/>
                <w:b/>
                <w:sz w:val="20"/>
              </w:rPr>
              <w:t>Communication_Templates</w:t>
            </w:r>
          </w:p>
        </w:tc>
        <w:tc>
          <w:tcPr>
            <w:tcW w:type="dxa" w:w="9648"/>
          </w:tcPr>
          <w:p>
            <w:r>
              <w:t>The email and document templates used to notify customers and internal teams — order acknowledgement, shipment notification with tracking, approval request, exception alert.</w:t>
            </w:r>
          </w:p>
        </w:tc>
      </w:tr>
      <w:tr>
        <w:tc>
          <w:tcPr>
            <w:tcW w:type="dxa" w:w="4713"/>
            <w:vMerge/>
          </w:tcPr>
          <w:p/>
        </w:tc>
        <w:tc>
          <w:tcPr>
            <w:tcW w:type="dxa" w:w="2736"/>
          </w:tcPr>
          <w:p>
            <w:r/>
            <w:r>
              <w:rPr>
                <w:rFonts w:ascii="Consolas" w:hAnsi="Consolas"/>
                <w:b/>
                <w:sz w:val="20"/>
              </w:rPr>
              <w:t>Document_Repository</w:t>
            </w:r>
          </w:p>
        </w:tc>
        <w:tc>
          <w:tcPr>
            <w:tcW w:type="dxa" w:w="9648"/>
          </w:tcPr>
          <w:p>
            <w:r>
              <w:t>Where generated documents are stored — order confirmations, packing slips, invoices, proofs of delivery. Referenced from the audit trail.</w:t>
            </w:r>
          </w:p>
        </w:tc>
      </w:tr>
    </w:tbl>
    <w:p/>
    <w:p>
      <w:r>
        <w:rPr>
          <w:b/>
        </w:rPr>
        <w:t xml:space="preserve">Notes:  </w:t>
      </w:r>
      <w:r>
        <w:t xml:space="preserve">(1) All workbooks are regenerated in one shot by running </w:t>
      </w:r>
      <w:r>
        <w:rPr>
          <w:rFonts w:ascii="Consolas" w:hAnsi="Consolas"/>
        </w:rPr>
        <w:t>python create_master_data.py</w:t>
      </w:r>
      <w:r>
        <w:t xml:space="preserve"> and, for customer-master-data.xlsx only, </w:t>
      </w:r>
      <w:r>
        <w:rPr>
          <w:rFonts w:ascii="Consolas" w:hAnsi="Consolas"/>
        </w:rPr>
        <w:t>python create_customer_master_data_excel.py</w:t>
      </w:r>
      <w:r>
        <w:t>.  (2) Sheets are loaded on first use by the validator that owns them and cached in-process for the life of the Streamlit server — changes to a workbook require an app restart to take effect.</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