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E3A5F"/>
          <w:sz w:val="52"/>
          <w:szCs w:val="52"/>
        </w:rPr>
        <w:t xml:space="preserve">PO Fulfillment AI Accelerator</w:t>
      </w:r>
    </w:p>
    <w:p>
      <w:pPr>
        <w:spacing w:after="80"/>
        <w:jc w:val="center"/>
      </w:pPr>
      <w:r>
        <w:rPr>
          <w:rFonts w:ascii="Calibri" w:cs="Calibri" w:eastAsia="Calibri" w:hAnsi="Calibri"/>
          <w:b/>
          <w:bCs/>
          <w:color w:val="2563EB"/>
          <w:sz w:val="30"/>
          <w:szCs w:val="30"/>
        </w:rPr>
        <w:t xml:space="preserve">US-02 — Corporate Account Hierarchy &amp; Ship-To Validation</w:t>
      </w:r>
    </w:p>
    <w:p>
      <w:pPr>
        <w:spacing w:after="600"/>
        <w:jc w:val="center"/>
      </w:pPr>
      <w:r>
        <w:rPr>
          <w:rFonts w:ascii="Calibri" w:cs="Calibri" w:eastAsia="Calibri" w:hAnsi="Calibri"/>
          <w:i/>
          <w:iCs/>
          <w:color w:val="555555"/>
          <w:sz w:val="24"/>
          <w:szCs w:val="24"/>
        </w:rPr>
        <w:t xml:space="preserve">Local Proof of Concept — Build Summary for Management</w:t>
      </w:r>
    </w:p>
    <w:p>
      <w:pPr>
        <w:spacing w:after="60"/>
        <w:jc w:val="center"/>
      </w:pPr>
      <w:r>
        <w:rPr>
          <w:rFonts w:ascii="Calibri" w:cs="Calibri" w:eastAsia="Calibri" w:hAnsi="Calibri"/>
          <w:b/>
          <w:bCs/>
          <w:sz w:val="24"/>
          <w:szCs w:val="24"/>
        </w:rPr>
        <w:t xml:space="preserve">Prepared by: Sanjay Kumar Kesarvani</w:t>
      </w:r>
    </w:p>
    <w:p>
      <w:pPr>
        <w:spacing w:after="60"/>
        <w:jc w:val="center"/>
      </w:pPr>
      <w:r>
        <w:rPr>
          <w:rFonts w:ascii="Calibri" w:cs="Calibri" w:eastAsia="Calibri" w:hAnsi="Calibri"/>
          <w:color w:val="555555"/>
          <w:sz w:val="22"/>
          <w:szCs w:val="22"/>
        </w:rPr>
        <w:t xml:space="preserve">Date: 25 June 2026</w:t>
      </w:r>
    </w:p>
    <w:p>
      <w:pPr>
        <w:jc w:val="center"/>
      </w:pPr>
      <w:r>
        <w:rPr>
          <w:rFonts w:ascii="Calibri" w:cs="Calibri" w:eastAsia="Calibri" w:hAnsi="Calibri"/>
          <w:b/>
          <w:bCs/>
          <w:color w:val="166534"/>
          <w:sz w:val="22"/>
          <w:szCs w:val="22"/>
        </w:rPr>
        <w:t xml:space="preserve">Status: Working POC (runs locally)</w:t>
      </w:r>
    </w:p>
    <w:p>
      <w:r>
        <w:br w:type="page"/>
      </w:r>
    </w:p>
    <w:p>
      <w:pPr>
        <w:pStyle w:val="Heading1"/>
        <w:spacing w:after="140" w:before="280"/>
      </w:pPr>
      <w:r>
        <w:rPr>
          <w:rFonts w:ascii="Calibri" w:cs="Calibri" w:eastAsia="Calibri" w:hAnsi="Calibri"/>
          <w:b/>
          <w:bCs/>
          <w:color w:val="1E3A5F"/>
          <w:sz w:val="30"/>
          <w:szCs w:val="30"/>
        </w:rPr>
        <w:t xml:space="preserve">1. Executive Summary</w:t>
      </w:r>
    </w:p>
    <w:p>
      <w:pPr>
        <w:spacing w:after="120" w:before="60" w:line="276"/>
        <w:jc w:val="left"/>
      </w:pPr>
      <w:r>
        <w:rPr>
          <w:rFonts w:ascii="Calibri" w:cs="Calibri" w:eastAsia="Calibri" w:hAnsi="Calibri"/>
          <w:b w:val="false"/>
          <w:bCs w:val="false"/>
          <w:i w:val="false"/>
          <w:iCs w:val="false"/>
          <w:color w:val="000000"/>
          <w:sz w:val="22"/>
          <w:szCs w:val="22"/>
        </w:rPr>
        <w:t xml:space="preserve">This document summarizes the work completed for User Story US-02 of the PO Fulfillment AI accelerator. US-02 builds on US-01 (PO intake and data extraction). After the AI agent extracts the order from a Purchase Order, US-02 confirms WHO the customer is in our corporate structure and WHETHER the requested delivery location is allowed for that customer.</w:t>
      </w:r>
    </w:p>
    <w:p>
      <w:pPr>
        <w:spacing w:after="120" w:before="60" w:line="276"/>
        <w:jc w:val="left"/>
      </w:pPr>
      <w:r>
        <w:rPr>
          <w:rFonts w:ascii="Calibri" w:cs="Calibri" w:eastAsia="Calibri" w:hAnsi="Calibri"/>
          <w:b w:val="false"/>
          <w:bCs w:val="false"/>
          <w:i w:val="false"/>
          <w:iCs w:val="false"/>
          <w:color w:val="000000"/>
          <w:sz w:val="22"/>
          <w:szCs w:val="22"/>
        </w:rPr>
        <w:t xml:space="preserve">In simple words: US-01 reads the PO. US-02 checks the customer and the ship-to address against our company records, decides which business rules apply, and either lets the order continue or raises a clear exception for the CSR to fix.</w:t>
      </w:r>
    </w:p>
    <w:p>
      <w:pPr>
        <w:spacing w:after="120" w:before="60" w:line="276"/>
        <w:jc w:val="left"/>
      </w:pPr>
      <w:r>
        <w:rPr>
          <w:rFonts w:ascii="Calibri" w:cs="Calibri" w:eastAsia="Calibri" w:hAnsi="Calibri"/>
          <w:b/>
          <w:bCs/>
          <w:i w:val="false"/>
          <w:iCs w:val="false"/>
          <w:color w:val="000000"/>
          <w:sz w:val="22"/>
          <w:szCs w:val="22"/>
        </w:rPr>
        <w:t xml:space="preserve">Important for this POC: </w:t>
      </w:r>
      <w:r>
        <w:rPr>
          <w:rFonts w:ascii="Calibri" w:cs="Calibri" w:eastAsia="Calibri" w:hAnsi="Calibri"/>
          <w:b w:val="false"/>
          <w:bCs w:val="false"/>
          <w:i w:val="false"/>
          <w:iCs w:val="false"/>
          <w:color w:val="000000"/>
          <w:sz w:val="22"/>
          <w:szCs w:val="22"/>
        </w:rPr>
        <w:t xml:space="preserve">we do NOT connect to any real ERP, CRM, WMS, OMS, or email (SMTP) system. All of these are simulated using local mock data files and mock functions, so the full flow can be demonstrated safely on a local machine.</w:t>
      </w:r>
    </w:p>
    <w:p>
      <w:pPr>
        <w:pStyle w:val="Heading1"/>
        <w:spacing w:after="140" w:before="280"/>
      </w:pPr>
      <w:r>
        <w:rPr>
          <w:rFonts w:ascii="Calibri" w:cs="Calibri" w:eastAsia="Calibri" w:hAnsi="Calibri"/>
          <w:b/>
          <w:bCs/>
          <w:color w:val="1E3A5F"/>
          <w:sz w:val="30"/>
          <w:szCs w:val="30"/>
        </w:rPr>
        <w:t xml:space="preserve">2. What US-02 Delivers (Acceptance Criteria)</w:t>
      </w:r>
    </w:p>
    <w:p>
      <w:pPr>
        <w:spacing w:after="120" w:before="60" w:line="276"/>
        <w:jc w:val="left"/>
      </w:pPr>
      <w:r>
        <w:rPr>
          <w:rFonts w:ascii="Calibri" w:cs="Calibri" w:eastAsia="Calibri" w:hAnsi="Calibri"/>
          <w:b w:val="false"/>
          <w:bCs w:val="false"/>
          <w:i w:val="false"/>
          <w:iCs w:val="false"/>
          <w:color w:val="000000"/>
          <w:sz w:val="22"/>
          <w:szCs w:val="22"/>
        </w:rPr>
        <w:t xml:space="preserve">US-02 has three acceptance criteria. All three are implemented and tested in the POC:</w:t>
      </w:r>
    </w:p>
    <w:tbl>
      <w:tblPr>
        <w:tblW w:type="pct" w:w="100%"/>
        <w:tblBorders>
          <w:top w:val="single" w:color="BBBBBB" w:sz="4"/>
          <w:left w:val="single" w:color="BBBBBB" w:sz="4"/>
          <w:bottom w:val="single" w:color="BBBBBB" w:sz="4"/>
          <w:right w:val="single" w:color="BBBBBB" w:sz="4"/>
          <w:insideH w:val="single" w:color="DDDDDD" w:sz="4"/>
          <w:insideV w:val="single" w:color="DDDDDD" w:sz="4"/>
        </w:tblBorders>
      </w:tblPr>
      <w:tblGrid>
        <w:gridCol w:w="100"/>
        <w:gridCol w:w="100"/>
        <w:gridCol w:w="100"/>
      </w:tblGrid>
      <w:tr>
        <w:trPr>
          <w:tblHeader/>
        </w:trPr>
        <w:tc>
          <w:tcPr>
            <w:tcW w:type="pct" w:w="12%"/>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AC</w:t>
            </w:r>
          </w:p>
        </w:tc>
        <w:tc>
          <w:tcPr>
            <w:tcW w:type="pct" w:w="73%"/>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What it does</w:t>
            </w:r>
          </w:p>
        </w:tc>
        <w:tc>
          <w:tcPr>
            <w:tcW w:type="pct" w:w="15%"/>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Status</w:t>
            </w:r>
          </w:p>
        </w:tc>
      </w:tr>
      <w:tr>
        <w:tc>
          <w:tcPr>
            <w:tcW w:type="pct" w:w="1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AC-01</w:t>
            </w:r>
          </w:p>
        </w:tc>
        <w:tc>
          <w:tcPr>
            <w:tcW w:type="pct" w:w="73%"/>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Identify the account hierarchy (Global Parent → Regional Division → Local Branch → Ship-To) and determine which business rules apply (pricing, product visibility, budget, approval routing, fulfillment).</w:t>
            </w:r>
          </w:p>
        </w:tc>
        <w:tc>
          <w:tcPr>
            <w:tcW w:type="pct" w:w="15%"/>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Done</w:t>
            </w:r>
          </w:p>
        </w:tc>
      </w:tr>
      <w:tr>
        <w:tc>
          <w:tcPr>
            <w:tcW w:type="pct" w:w="1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AC-02</w:t>
            </w:r>
          </w:p>
        </w:tc>
        <w:tc>
          <w:tcPr>
            <w:tcW w:type="pct" w:w="73%"/>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If the ship-to location is not part of the customer's hierarchy, raise an account hierarchy exception and show the customer, the submitted ship-to, and possible valid ship-to locations for review.</w:t>
            </w:r>
          </w:p>
        </w:tc>
        <w:tc>
          <w:tcPr>
            <w:tcW w:type="pct" w:w="15%"/>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Done</w:t>
            </w:r>
          </w:p>
        </w:tc>
      </w:tr>
      <w:tr>
        <w:tc>
          <w:tcPr>
            <w:tcW w:type="pct" w:w="1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AC-03</w:t>
            </w:r>
          </w:p>
        </w:tc>
        <w:tc>
          <w:tcPr>
            <w:tcW w:type="pct" w:w="73%"/>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Apply the rule from the most specific level available (ship-to first, then branch, then regional, then global parent) and record the level used in the audit trail.</w:t>
            </w:r>
          </w:p>
        </w:tc>
        <w:tc>
          <w:tcPr>
            <w:tcW w:type="pct" w:w="15%"/>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Done</w:t>
            </w:r>
          </w:p>
        </w:tc>
      </w:tr>
    </w:tbl>
    <w:p>
      <w:pPr>
        <w:pStyle w:val="Heading1"/>
        <w:spacing w:after="140" w:before="280"/>
      </w:pPr>
      <w:r>
        <w:rPr>
          <w:rFonts w:ascii="Calibri" w:cs="Calibri" w:eastAsia="Calibri" w:hAnsi="Calibri"/>
          <w:b/>
          <w:bCs/>
          <w:color w:val="1E3A5F"/>
          <w:sz w:val="30"/>
          <w:szCs w:val="30"/>
        </w:rPr>
        <w:t xml:space="preserve">3. Exceptions Handled by US-02</w:t>
      </w:r>
    </w:p>
    <w:p>
      <w:pPr>
        <w:spacing w:after="120" w:before="60" w:line="276"/>
        <w:jc w:val="left"/>
      </w:pPr>
      <w:r>
        <w:rPr>
          <w:rFonts w:ascii="Calibri" w:cs="Calibri" w:eastAsia="Calibri" w:hAnsi="Calibri"/>
          <w:b w:val="false"/>
          <w:bCs w:val="false"/>
          <w:i w:val="false"/>
          <w:iCs w:val="false"/>
          <w:color w:val="000000"/>
          <w:sz w:val="22"/>
          <w:szCs w:val="22"/>
        </w:rPr>
        <w:t xml:space="preserve">The acceptance criteria list four exception types. Each one is detected and shown to the CSR with the right detail, and automated processing is paused until it is resolved:</w:t>
      </w:r>
    </w:p>
    <w:tbl>
      <w:tblPr>
        <w:tblW w:type="pct" w:w="100%"/>
        <w:tblBorders>
          <w:top w:val="single" w:color="BBBBBB" w:sz="4"/>
          <w:left w:val="single" w:color="BBBBBB" w:sz="4"/>
          <w:bottom w:val="single" w:color="BBBBBB" w:sz="4"/>
          <w:right w:val="single" w:color="BBBBBB" w:sz="4"/>
          <w:insideH w:val="single" w:color="DDDDDD" w:sz="4"/>
          <w:insideV w:val="single" w:color="DDDDDD" w:sz="4"/>
        </w:tblBorders>
      </w:tblPr>
      <w:tblGrid>
        <w:gridCol w:w="100"/>
        <w:gridCol w:w="100"/>
        <w:gridCol w:w="100"/>
      </w:tblGrid>
      <w:tr>
        <w:trPr>
          <w:tblHeader/>
        </w:trPr>
        <w:tc>
          <w:tcPr>
            <w:tcW w:type="pct" w:w="26%"/>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Exception</w:t>
            </w:r>
          </w:p>
        </w:tc>
        <w:tc>
          <w:tcPr>
            <w:tcW w:type="pct" w:w="40%"/>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When it happens</w:t>
            </w:r>
          </w:p>
        </w:tc>
        <w:tc>
          <w:tcPr>
            <w:tcW w:type="pct" w:w="34%"/>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What the CSR sees</w:t>
            </w:r>
          </w:p>
        </w:tc>
      </w:tr>
      <w:tr>
        <w:tc>
          <w:tcPr>
            <w:tcW w:type="pct" w:w="2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Unmatched customer</w:t>
            </w:r>
          </w:p>
        </w:tc>
        <w:tc>
          <w:tcPr>
            <w:tcW w:type="pct" w:w="4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The customer account on the PO is not in the customer master.</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Clear message that the account was not found.</w:t>
            </w:r>
          </w:p>
        </w:tc>
      </w:tr>
      <w:tr>
        <w:tc>
          <w:tcPr>
            <w:tcW w:type="pct" w:w="2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Duplicate customer</w:t>
            </w:r>
          </w:p>
        </w:tc>
        <w:tc>
          <w:tcPr>
            <w:tcW w:type="pct" w:w="4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The customer account matches more than one master record.</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Both candidate records (company, branch, ERP/CRM IDs) to choose from.</w:t>
            </w:r>
          </w:p>
        </w:tc>
      </w:tr>
      <w:tr>
        <w:tc>
          <w:tcPr>
            <w:tcW w:type="pct" w:w="2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Invalid ship-to</w:t>
            </w:r>
          </w:p>
        </w:tc>
        <w:tc>
          <w:tcPr>
            <w:tcW w:type="pct" w:w="4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The ship-to ZIP is not registered to any ship-to location.</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The valid ship-to locations available for that customer.</w:t>
            </w:r>
          </w:p>
        </w:tc>
      </w:tr>
      <w:tr>
        <w:tc>
          <w:tcPr>
            <w:tcW w:type="pct" w:w="2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Hierarchy mismatch</w:t>
            </w:r>
          </w:p>
        </w:tc>
        <w:tc>
          <w:tcPr>
            <w:tcW w:type="pct" w:w="4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The ship-to ZIP exists but belongs to a different corporate parent.</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Which company the ZIP actually belongs to, plus the customer's valid ship-tos.</w:t>
            </w:r>
          </w:p>
        </w:tc>
      </w:tr>
    </w:tbl>
    <w:p>
      <w:pPr>
        <w:pStyle w:val="Heading1"/>
        <w:spacing w:after="140" w:before="280"/>
      </w:pPr>
      <w:r>
        <w:rPr>
          <w:rFonts w:ascii="Calibri" w:cs="Calibri" w:eastAsia="Calibri" w:hAnsi="Calibri"/>
          <w:b/>
          <w:bCs/>
          <w:color w:val="1E3A5F"/>
          <w:sz w:val="30"/>
          <w:szCs w:val="30"/>
        </w:rPr>
        <w:t xml:space="preserve">4. Mock Data Approach (No Real Systems)</w:t>
      </w:r>
    </w:p>
    <w:p>
      <w:pPr>
        <w:spacing w:after="120" w:before="60" w:line="276"/>
        <w:jc w:val="left"/>
      </w:pPr>
      <w:r>
        <w:rPr>
          <w:rFonts w:ascii="Calibri" w:cs="Calibri" w:eastAsia="Calibri" w:hAnsi="Calibri"/>
          <w:b w:val="false"/>
          <w:bCs w:val="false"/>
          <w:i w:val="false"/>
          <w:iCs w:val="false"/>
          <w:color w:val="000000"/>
          <w:sz w:val="22"/>
          <w:szCs w:val="22"/>
        </w:rPr>
        <w:t xml:space="preserve">All data that US-02 needs (the 'Systems / Data Needed' column of the user story) is provided through a single local Excel workbook, master-data.xlsx, kept in the mock-data folder. This keeps the POC self-contained and removes any dependency on real enterprise systems. The workbook can be opened and edited in Excel like any normal spreadsheet.</w:t>
      </w:r>
    </w:p>
    <w:p>
      <w:pPr>
        <w:spacing w:after="120" w:before="60" w:line="276"/>
        <w:jc w:val="left"/>
      </w:pPr>
      <w:r>
        <w:rPr>
          <w:rFonts w:ascii="Calibri" w:cs="Calibri" w:eastAsia="Calibri" w:hAnsi="Calibri"/>
          <w:b w:val="false"/>
          <w:bCs w:val="false"/>
          <w:i w:val="false"/>
          <w:iCs w:val="false"/>
          <w:color w:val="000000"/>
          <w:sz w:val="22"/>
          <w:szCs w:val="22"/>
        </w:rPr>
        <w:t xml:space="preserve">The workbook has four sheets, which together cover every required system / data source:</w:t>
      </w:r>
    </w:p>
    <w:tbl>
      <w:tblPr>
        <w:tblW w:type="pct" w:w="100%"/>
        <w:tblBorders>
          <w:top w:val="single" w:color="BBBBBB" w:sz="4"/>
          <w:left w:val="single" w:color="BBBBBB" w:sz="4"/>
          <w:bottom w:val="single" w:color="BBBBBB" w:sz="4"/>
          <w:right w:val="single" w:color="BBBBBB" w:sz="4"/>
          <w:insideH w:val="single" w:color="DDDDDD" w:sz="4"/>
          <w:insideV w:val="single" w:color="DDDDDD" w:sz="4"/>
        </w:tblBorders>
      </w:tblPr>
      <w:tblGrid>
        <w:gridCol w:w="100"/>
        <w:gridCol w:w="100"/>
      </w:tblGrid>
      <w:tr>
        <w:trPr>
          <w:tblHeader/>
        </w:trPr>
        <w:tc>
          <w:tcPr>
            <w:tcW w:type="pct" w:w="42%"/>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Required system / data</w:t>
            </w:r>
          </w:p>
        </w:tc>
        <w:tc>
          <w:tcPr>
            <w:tcW w:type="pct" w:w="58%"/>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Where it lives in master-data.xlsx</w:t>
            </w:r>
          </w:p>
        </w:tc>
      </w:tr>
      <w:tr>
        <w:tc>
          <w:tcPr>
            <w:tcW w:type="pct" w:w="4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Customer master</w:t>
            </w:r>
          </w:p>
        </w:tc>
        <w:tc>
          <w:tcPr>
            <w:tcW w:type="pct" w:w="58%"/>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Sheet 'Customer_Master' — customer account, company, status, owning branch.</w:t>
            </w:r>
          </w:p>
        </w:tc>
      </w:tr>
      <w:tr>
        <w:tc>
          <w:tcPr>
            <w:tcW w:type="pct" w:w="4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ERP customer records</w:t>
            </w:r>
          </w:p>
        </w:tc>
        <w:tc>
          <w:tcPr>
            <w:tcW w:type="pct" w:w="58%"/>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Sheet 'Customer_Master', column erp_customer_id (e.g. ERP-AC-7781).</w:t>
            </w:r>
          </w:p>
        </w:tc>
      </w:tr>
      <w:tr>
        <w:tc>
          <w:tcPr>
            <w:tcW w:type="pct" w:w="4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CRM / account records</w:t>
            </w:r>
          </w:p>
        </w:tc>
        <w:tc>
          <w:tcPr>
            <w:tcW w:type="pct" w:w="58%"/>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Sheet 'Customer_Master', column crm_account_id (e.g. CRM-ACME-001).</w:t>
            </w:r>
          </w:p>
        </w:tc>
      </w:tr>
      <w:tr>
        <w:tc>
          <w:tcPr>
            <w:tcW w:type="pct" w:w="4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Account hierarchy</w:t>
            </w:r>
          </w:p>
        </w:tc>
        <w:tc>
          <w:tcPr>
            <w:tcW w:type="pct" w:w="58%"/>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Sheet 'Account_Hierarchy' — branch → regional division → global parent.</w:t>
            </w:r>
          </w:p>
        </w:tc>
      </w:tr>
      <w:tr>
        <w:tc>
          <w:tcPr>
            <w:tcW w:type="pct" w:w="4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Ship-to master</w:t>
            </w:r>
          </w:p>
        </w:tc>
        <w:tc>
          <w:tcPr>
            <w:tcW w:type="pct" w:w="58%"/>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Sheet 'Ship_To_Master' — ship-to locations with ZIP, address, owning branch.</w:t>
            </w:r>
          </w:p>
        </w:tc>
      </w:tr>
      <w:tr>
        <w:tc>
          <w:tcPr>
            <w:tcW w:type="pct" w:w="4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Hierarchy rules</w:t>
            </w:r>
          </w:p>
        </w:tc>
        <w:tc>
          <w:tcPr>
            <w:tcW w:type="pct" w:w="58%"/>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Sheet 'Hierarchy_Rules' — rules at each level (blank = not set at that level).</w:t>
            </w:r>
          </w:p>
        </w:tc>
      </w:tr>
    </w:tbl>
    <w:p>
      <w:pPr>
        <w:spacing w:after="120" w:before="60" w:line="276"/>
        <w:jc w:val="left"/>
      </w:pPr>
      <w:r>
        <w:rPr>
          <w:rFonts w:ascii="Calibri" w:cs="Calibri" w:eastAsia="Calibri" w:hAnsi="Calibri"/>
          <w:b w:val="false"/>
          <w:bCs w:val="false"/>
          <w:i w:val="false"/>
          <w:iCs w:val="false"/>
          <w:color w:val="000000"/>
          <w:sz w:val="22"/>
          <w:szCs w:val="22"/>
        </w:rPr>
        <w:t xml:space="preserve">Because the master data is now an editable Excel workbook, business users can review or change customers, hierarchy, ship-to locations, and rules without touching any code.</w:t>
      </w:r>
    </w:p>
    <w:p>
      <w:pPr>
        <w:pStyle w:val="Heading1"/>
        <w:spacing w:after="140" w:before="280"/>
      </w:pPr>
      <w:r>
        <w:rPr>
          <w:rFonts w:ascii="Calibri" w:cs="Calibri" w:eastAsia="Calibri" w:hAnsi="Calibri"/>
          <w:b/>
          <w:bCs/>
          <w:color w:val="1E3A5F"/>
          <w:sz w:val="30"/>
          <w:szCs w:val="30"/>
        </w:rPr>
        <w:t xml:space="preserve">5. The Mock Account Hierarchy</w:t>
      </w:r>
    </w:p>
    <w:p>
      <w:pPr>
        <w:spacing w:after="120" w:before="60" w:line="276"/>
        <w:jc w:val="left"/>
      </w:pPr>
      <w:r>
        <w:rPr>
          <w:rFonts w:ascii="Calibri" w:cs="Calibri" w:eastAsia="Calibri" w:hAnsi="Calibri"/>
          <w:b w:val="false"/>
          <w:bCs w:val="false"/>
          <w:i w:val="false"/>
          <w:iCs w:val="false"/>
          <w:color w:val="000000"/>
          <w:sz w:val="22"/>
          <w:szCs w:val="22"/>
        </w:rPr>
        <w:t xml:space="preserve">The hierarchy used for the demo is shown below. Rules are stored at each level. The most specific level wins (AC-03).</w:t>
      </w:r>
    </w:p>
    <w:p>
      <w:pPr>
        <w:spacing w:after="120" w:before="60" w:line="276"/>
        <w:jc w:val="left"/>
      </w:pPr>
      <w:r>
        <w:rPr>
          <w:rFonts w:ascii="Calibri" w:cs="Calibri" w:eastAsia="Calibri" w:hAnsi="Calibri"/>
          <w:b/>
          <w:bCs/>
          <w:i w:val="false"/>
          <w:iCs w:val="false"/>
          <w:color w:val="000000"/>
          <w:sz w:val="22"/>
          <w:szCs w:val="22"/>
        </w:rPr>
        <w:t xml:space="preserve">GP-ACME (Acme Global Holdings)</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RD-ACME-NA (Acme North America)</w:t>
      </w:r>
    </w:p>
    <w:p>
      <w:pPr>
        <w:pStyle w:val="ListParagraph"/>
        <w:numPr>
          <w:ilvl w:val="1"/>
          <w:numId w:val="1"/>
        </w:numPr>
        <w:spacing w:after="60" w:before="20" w:line="276"/>
      </w:pPr>
      <w:r>
        <w:rPr>
          <w:rFonts w:ascii="Calibri" w:cs="Calibri" w:eastAsia="Calibri" w:hAnsi="Calibri"/>
          <w:b w:val="false"/>
          <w:bCs w:val="false"/>
          <w:i w:val="false"/>
          <w:iCs w:val="false"/>
          <w:color w:val="000000"/>
          <w:sz w:val="22"/>
          <w:szCs w:val="22"/>
        </w:rPr>
        <w:t xml:space="preserve">BR-ACME-MW (Midwest Branch) → ST-CHI-001 (ZIP 60639), ST-DET-002 (ZIP 48201)</w:t>
      </w:r>
    </w:p>
    <w:p>
      <w:pPr>
        <w:pStyle w:val="ListParagraph"/>
        <w:numPr>
          <w:ilvl w:val="1"/>
          <w:numId w:val="1"/>
        </w:numPr>
        <w:spacing w:after="60" w:before="20" w:line="276"/>
      </w:pPr>
      <w:r>
        <w:rPr>
          <w:rFonts w:ascii="Calibri" w:cs="Calibri" w:eastAsia="Calibri" w:hAnsi="Calibri"/>
          <w:b w:val="false"/>
          <w:bCs w:val="false"/>
          <w:i w:val="false"/>
          <w:iCs w:val="false"/>
          <w:color w:val="000000"/>
          <w:sz w:val="22"/>
          <w:szCs w:val="22"/>
        </w:rPr>
        <w:t xml:space="preserve">BR-ACME-NE (Northeast Branch) → ST-NYC-003 (ZIP 10001)</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RD-ACME-EU (Acme Europe)</w:t>
      </w:r>
    </w:p>
    <w:p>
      <w:pPr>
        <w:pStyle w:val="ListParagraph"/>
        <w:numPr>
          <w:ilvl w:val="1"/>
          <w:numId w:val="1"/>
        </w:numPr>
        <w:spacing w:after="60" w:before="20" w:line="276"/>
      </w:pPr>
      <w:r>
        <w:rPr>
          <w:rFonts w:ascii="Calibri" w:cs="Calibri" w:eastAsia="Calibri" w:hAnsi="Calibri"/>
          <w:b w:val="false"/>
          <w:bCs w:val="false"/>
          <w:i w:val="false"/>
          <w:iCs w:val="false"/>
          <w:color w:val="000000"/>
          <w:sz w:val="22"/>
          <w:szCs w:val="22"/>
        </w:rPr>
        <w:t xml:space="preserve">BR-ACME-UK (UK Branch) → ST-LON-004 (ZIP E145AB)</w:t>
      </w:r>
    </w:p>
    <w:p>
      <w:pPr>
        <w:spacing w:after="120" w:before="60" w:line="276"/>
        <w:jc w:val="left"/>
      </w:pPr>
      <w:r>
        <w:rPr>
          <w:rFonts w:ascii="Calibri" w:cs="Calibri" w:eastAsia="Calibri" w:hAnsi="Calibri"/>
          <w:b/>
          <w:bCs/>
          <w:i w:val="false"/>
          <w:iCs w:val="false"/>
          <w:color w:val="000000"/>
          <w:sz w:val="22"/>
          <w:szCs w:val="22"/>
        </w:rPr>
        <w:t xml:space="preserve">GP-GLOBEX (Globex Corporation)</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RD-GLOBEX-NA → BR-GLOBEX-WEST → ST-LA-005 (ZIP 90001)</w:t>
      </w:r>
    </w:p>
    <w:p>
      <w:pPr>
        <w:pStyle w:val="Heading1"/>
        <w:spacing w:after="140" w:before="280"/>
      </w:pPr>
      <w:r>
        <w:rPr>
          <w:rFonts w:ascii="Calibri" w:cs="Calibri" w:eastAsia="Calibri" w:hAnsi="Calibri"/>
          <w:b/>
          <w:bCs/>
          <w:color w:val="1E3A5F"/>
          <w:sz w:val="30"/>
          <w:szCs w:val="30"/>
        </w:rPr>
        <w:t xml:space="preserve">6. How the Rule Cascade Works (AC-03)</w:t>
      </w:r>
    </w:p>
    <w:p>
      <w:pPr>
        <w:spacing w:after="120" w:before="60" w:line="276"/>
        <w:jc w:val="left"/>
      </w:pPr>
      <w:r>
        <w:rPr>
          <w:rFonts w:ascii="Calibri" w:cs="Calibri" w:eastAsia="Calibri" w:hAnsi="Calibri"/>
          <w:b w:val="false"/>
          <w:bCs w:val="false"/>
          <w:i w:val="false"/>
          <w:iCs w:val="false"/>
          <w:color w:val="000000"/>
          <w:sz w:val="22"/>
          <w:szCs w:val="22"/>
        </w:rPr>
        <w:t xml:space="preserve">When the customer and ship-to are valid, the agent collects rules from every level and keeps the most specific value for each rule. Example for customer CUST-1001 shipping to ZIP 60639 (Chicago):</w:t>
      </w:r>
    </w:p>
    <w:tbl>
      <w:tblPr>
        <w:tblW w:type="pct" w:w="100%"/>
        <w:tblBorders>
          <w:top w:val="single" w:color="BBBBBB" w:sz="4"/>
          <w:left w:val="single" w:color="BBBBBB" w:sz="4"/>
          <w:bottom w:val="single" w:color="BBBBBB" w:sz="4"/>
          <w:right w:val="single" w:color="BBBBBB" w:sz="4"/>
          <w:insideH w:val="single" w:color="DDDDDD" w:sz="4"/>
          <w:insideV w:val="single" w:color="DDDDDD" w:sz="4"/>
        </w:tblBorders>
      </w:tblPr>
      <w:tblGrid>
        <w:gridCol w:w="100"/>
        <w:gridCol w:w="100"/>
        <w:gridCol w:w="100"/>
      </w:tblGrid>
      <w:tr>
        <w:trPr>
          <w:tblHeader/>
        </w:trPr>
        <w:tc>
          <w:tcPr>
            <w:tcW w:type="pct" w:w="34%"/>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Rule</w:t>
            </w:r>
          </w:p>
        </w:tc>
        <w:tc>
          <w:tcPr>
            <w:tcW w:type="pct" w:w="34%"/>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Applied value</w:t>
            </w:r>
          </w:p>
        </w:tc>
        <w:tc>
          <w:tcPr>
            <w:tcW w:type="pct" w:w="32%"/>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Came from level</w:t>
            </w:r>
          </w:p>
        </w:tc>
      </w:tr>
      <w:tr>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Pricing Tier</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TIER-2</w:t>
            </w:r>
          </w:p>
        </w:tc>
        <w:tc>
          <w:tcPr>
            <w:tcW w:type="pct" w:w="3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Regional Division</w:t>
            </w:r>
          </w:p>
        </w:tc>
      </w:tr>
      <w:tr>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Product Visibility</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GLOBAL_CATALOG</w:t>
            </w:r>
          </w:p>
        </w:tc>
        <w:tc>
          <w:tcPr>
            <w:tcW w:type="pct" w:w="3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Global Parent</w:t>
            </w:r>
          </w:p>
        </w:tc>
      </w:tr>
      <w:tr>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Budget Limit</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$500,000</w:t>
            </w:r>
          </w:p>
        </w:tc>
        <w:tc>
          <w:tcPr>
            <w:tcW w:type="pct" w:w="3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Branch</w:t>
            </w:r>
          </w:p>
        </w:tc>
      </w:tr>
      <w:tr>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Approval Routing</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SITE_SUPERVISOR</w:t>
            </w:r>
          </w:p>
        </w:tc>
        <w:tc>
          <w:tcPr>
            <w:tcW w:type="pct" w:w="3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Ship-To</w:t>
            </w:r>
          </w:p>
        </w:tc>
      </w:tr>
      <w:tr>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Fulfillment Rule</w:t>
            </w:r>
          </w:p>
        </w:tc>
        <w:tc>
          <w:tcPr>
            <w:tcW w:type="pct" w:w="3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CHICAGO_DC_PRIORITY</w:t>
            </w:r>
          </w:p>
        </w:tc>
        <w:tc>
          <w:tcPr>
            <w:tcW w:type="pct" w:w="32%"/>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Ship-To</w:t>
            </w:r>
          </w:p>
        </w:tc>
      </w:tr>
    </w:tbl>
    <w:p>
      <w:pPr>
        <w:spacing w:after="120" w:before="60" w:line="276"/>
        <w:jc w:val="left"/>
      </w:pPr>
      <w:r>
        <w:rPr>
          <w:rFonts w:ascii="Calibri" w:cs="Calibri" w:eastAsia="Calibri" w:hAnsi="Calibri"/>
          <w:b w:val="false"/>
          <w:bCs w:val="false"/>
          <w:i w:val="false"/>
          <w:iCs w:val="false"/>
          <w:color w:val="000000"/>
          <w:sz w:val="22"/>
          <w:szCs w:val="22"/>
        </w:rPr>
        <w:t xml:space="preserve">The audit trail records the level used for each rule, satisfying the 'log the applied hierarchy level' requirement.</w:t>
      </w:r>
    </w:p>
    <w:p>
      <w:pPr>
        <w:pStyle w:val="Heading1"/>
        <w:spacing w:after="140" w:before="280"/>
      </w:pPr>
      <w:r>
        <w:rPr>
          <w:rFonts w:ascii="Calibri" w:cs="Calibri" w:eastAsia="Calibri" w:hAnsi="Calibri"/>
          <w:b/>
          <w:bCs/>
          <w:color w:val="1E3A5F"/>
          <w:sz w:val="30"/>
          <w:szCs w:val="30"/>
        </w:rPr>
        <w:t xml:space="preserve">7. Confidence Scoring Correction</w:t>
      </w:r>
    </w:p>
    <w:p>
      <w:pPr>
        <w:spacing w:after="120" w:before="60" w:line="276"/>
        <w:jc w:val="left"/>
      </w:pPr>
      <w:r>
        <w:rPr>
          <w:rFonts w:ascii="Calibri" w:cs="Calibri" w:eastAsia="Calibri" w:hAnsi="Calibri"/>
          <w:b w:val="false"/>
          <w:bCs w:val="false"/>
          <w:i w:val="false"/>
          <w:iCs w:val="false"/>
          <w:color w:val="000000"/>
          <w:sz w:val="22"/>
          <w:szCs w:val="22"/>
        </w:rPr>
        <w:t xml:space="preserve">During US-02 work, the US-01 confidence scoring was also corrected based on review feedback. Previously some correctly extracted fields showed less than 100% (for example, a delivery date written as '15 July 2026' showed 80%, and a valid ZIP showed 95%). This was misleading.</w:t>
      </w:r>
    </w:p>
    <w:p>
      <w:pPr>
        <w:spacing w:after="120" w:before="60" w:line="276"/>
        <w:jc w:val="left"/>
      </w:pPr>
      <w:r>
        <w:rPr>
          <w:rFonts w:ascii="Calibri" w:cs="Calibri" w:eastAsia="Calibri" w:hAnsi="Calibri"/>
          <w:b w:val="false"/>
          <w:bCs w:val="false"/>
          <w:i w:val="false"/>
          <w:iCs w:val="false"/>
          <w:color w:val="000000"/>
          <w:sz w:val="22"/>
          <w:szCs w:val="22"/>
        </w:rPr>
        <w:t xml:space="preserve">New, clearer rule:</w:t>
      </w:r>
    </w:p>
    <w:p>
      <w:pPr>
        <w:pStyle w:val="ListParagraph"/>
        <w:numPr>
          <w:ilvl w:val="0"/>
          <w:numId w:val="1"/>
        </w:numPr>
        <w:spacing w:after="60" w:before="20" w:line="276"/>
      </w:pPr>
      <w:r>
        <w:rPr>
          <w:rFonts w:ascii="Calibri" w:cs="Calibri" w:eastAsia="Calibri" w:hAnsi="Calibri"/>
          <w:b/>
          <w:bCs/>
          <w:i w:val="false"/>
          <w:iCs w:val="false"/>
          <w:color w:val="166534"/>
          <w:sz w:val="22"/>
          <w:szCs w:val="22"/>
        </w:rPr>
        <w:t xml:space="preserve">100% </w:t>
      </w:r>
      <w:r>
        <w:rPr>
          <w:rFonts w:ascii="Calibri" w:cs="Calibri" w:eastAsia="Calibri" w:hAnsi="Calibri"/>
          <w:b w:val="false"/>
          <w:bCs w:val="false"/>
          <w:i w:val="false"/>
          <w:iCs w:val="false"/>
          <w:color w:val="000000"/>
          <w:sz w:val="22"/>
          <w:szCs w:val="22"/>
        </w:rPr>
        <w:t xml:space="preserve">when a field is found and valid (any accepted date format, a valid ZIP, a complete order line).</w:t>
      </w:r>
    </w:p>
    <w:p>
      <w:pPr>
        <w:pStyle w:val="ListParagraph"/>
        <w:numPr>
          <w:ilvl w:val="0"/>
          <w:numId w:val="1"/>
        </w:numPr>
        <w:spacing w:after="60" w:before="20" w:line="276"/>
      </w:pPr>
      <w:r>
        <w:rPr>
          <w:rFonts w:ascii="Calibri" w:cs="Calibri" w:eastAsia="Calibri" w:hAnsi="Calibri"/>
          <w:b/>
          <w:bCs/>
          <w:i w:val="false"/>
          <w:iCs w:val="false"/>
          <w:color w:val="92400E"/>
          <w:sz w:val="22"/>
          <w:szCs w:val="22"/>
        </w:rPr>
        <w:t xml:space="preserve">Below 100% </w:t>
      </w:r>
      <w:r>
        <w:rPr>
          <w:rFonts w:ascii="Calibri" w:cs="Calibri" w:eastAsia="Calibri" w:hAnsi="Calibri"/>
          <w:b w:val="false"/>
          <w:bCs w:val="false"/>
          <w:i w:val="false"/>
          <w:iCs w:val="false"/>
          <w:color w:val="000000"/>
          <w:sz w:val="22"/>
          <w:szCs w:val="22"/>
        </w:rPr>
        <w:t xml:space="preserve">only when a field is missing, empty, incomplete, or cannot be validated.</w:t>
      </w:r>
    </w:p>
    <w:p>
      <w:pPr>
        <w:spacing w:after="120" w:before="60" w:line="276"/>
        <w:jc w:val="left"/>
      </w:pPr>
      <w:r>
        <w:rPr>
          <w:rFonts w:ascii="Calibri" w:cs="Calibri" w:eastAsia="Calibri" w:hAnsi="Calibri"/>
          <w:b w:val="false"/>
          <w:bCs w:val="false"/>
          <w:i w:val="false"/>
          <w:iCs w:val="false"/>
          <w:color w:val="000000"/>
          <w:sz w:val="22"/>
          <w:szCs w:val="22"/>
        </w:rPr>
        <w:t xml:space="preserve">This makes the confidence score trustworthy for the CSR: a number below 100% now always means something genuinely needs attention.</w:t>
      </w:r>
    </w:p>
    <w:p>
      <w:pPr>
        <w:pStyle w:val="Heading1"/>
        <w:spacing w:after="140" w:before="280"/>
      </w:pPr>
      <w:r>
        <w:rPr>
          <w:rFonts w:ascii="Calibri" w:cs="Calibri" w:eastAsia="Calibri" w:hAnsi="Calibri"/>
          <w:b/>
          <w:bCs/>
          <w:color w:val="1E3A5F"/>
          <w:sz w:val="30"/>
          <w:szCs w:val="30"/>
        </w:rPr>
        <w:t xml:space="preserve">8. Validation &amp; Testing</w:t>
      </w:r>
    </w:p>
    <w:p>
      <w:pPr>
        <w:spacing w:after="120" w:before="60" w:line="276"/>
        <w:jc w:val="left"/>
      </w:pPr>
      <w:r>
        <w:rPr>
          <w:rFonts w:ascii="Calibri" w:cs="Calibri" w:eastAsia="Calibri" w:hAnsi="Calibri"/>
          <w:b w:val="false"/>
          <w:bCs w:val="false"/>
          <w:i w:val="false"/>
          <w:iCs w:val="false"/>
          <w:color w:val="000000"/>
          <w:sz w:val="22"/>
          <w:szCs w:val="22"/>
        </w:rPr>
        <w:t xml:space="preserve">Every scenario was tested end-to-end (US-01 extraction followed by US-02 validation). All passed:</w:t>
      </w:r>
    </w:p>
    <w:tbl>
      <w:tblPr>
        <w:tblW w:type="pct" w:w="100%"/>
        <w:tblBorders>
          <w:top w:val="single" w:color="BBBBBB" w:sz="4"/>
          <w:left w:val="single" w:color="BBBBBB" w:sz="4"/>
          <w:bottom w:val="single" w:color="BBBBBB" w:sz="4"/>
          <w:right w:val="single" w:color="BBBBBB" w:sz="4"/>
          <w:insideH w:val="single" w:color="DDDDDD" w:sz="4"/>
          <w:insideV w:val="single" w:color="DDDDDD" w:sz="4"/>
        </w:tblBorders>
      </w:tblPr>
      <w:tblGrid>
        <w:gridCol w:w="100"/>
        <w:gridCol w:w="100"/>
        <w:gridCol w:w="100"/>
      </w:tblGrid>
      <w:tr>
        <w:trPr>
          <w:tblHeader/>
        </w:trPr>
        <w:tc>
          <w:tcPr>
            <w:tcW w:type="pct" w:w="30%"/>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Scenario</w:t>
            </w:r>
          </w:p>
        </w:tc>
        <w:tc>
          <w:tcPr>
            <w:tcW w:type="pct" w:w="46%"/>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Sample file</w:t>
            </w:r>
          </w:p>
        </w:tc>
        <w:tc>
          <w:tcPr>
            <w:tcW w:type="pct" w:w="24%"/>
            <w:shd w:fill="1E3A5F" w:color="auto" w:val="clear"/>
            <w:tcMar>
              <w:top w:type="dxa" w:w="60"/>
              <w:left w:type="dxa" w:w="110"/>
              <w:bottom w:type="dxa" w:w="60"/>
              <w:right w:type="dxa" w:w="110"/>
            </w:tcMar>
            <w:vAlign w:val="center"/>
          </w:tcPr>
          <w:p>
            <w:pPr>
              <w:spacing w:after="20" w:before="20" w:line="252"/>
            </w:pPr>
            <w:r>
              <w:rPr>
                <w:rFonts w:ascii="Calibri" w:cs="Calibri" w:eastAsia="Calibri" w:hAnsi="Calibri"/>
                <w:b/>
                <w:bCs/>
                <w:color w:val="FFFFFF"/>
                <w:sz w:val="20"/>
                <w:szCs w:val="20"/>
              </w:rPr>
              <w:t xml:space="preserve">Result</w:t>
            </w:r>
          </w:p>
        </w:tc>
      </w:tr>
      <w:tr>
        <w:tc>
          <w:tcPr>
            <w:tcW w:type="pct" w:w="3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Happy path</w:t>
            </w:r>
          </w:p>
        </w:tc>
        <w:tc>
          <w:tcPr>
            <w:tcW w:type="pct" w:w="4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sample-po-text.txt</w:t>
            </w:r>
          </w:p>
        </w:tc>
        <w:tc>
          <w:tcPr>
            <w:tcW w:type="pct" w:w="2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PASS — hierarchy resolved</w:t>
            </w:r>
          </w:p>
        </w:tc>
      </w:tr>
      <w:tr>
        <w:tc>
          <w:tcPr>
            <w:tcW w:type="pct" w:w="3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Unmatched customer</w:t>
            </w:r>
          </w:p>
        </w:tc>
        <w:tc>
          <w:tcPr>
            <w:tcW w:type="pct" w:w="4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us02-unmatched-customer.txt</w:t>
            </w:r>
          </w:p>
        </w:tc>
        <w:tc>
          <w:tcPr>
            <w:tcW w:type="pct" w:w="2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Exception raised</w:t>
            </w:r>
          </w:p>
        </w:tc>
      </w:tr>
      <w:tr>
        <w:tc>
          <w:tcPr>
            <w:tcW w:type="pct" w:w="3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Duplicate customer</w:t>
            </w:r>
          </w:p>
        </w:tc>
        <w:tc>
          <w:tcPr>
            <w:tcW w:type="pct" w:w="4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us02-duplicate-customer.txt</w:t>
            </w:r>
          </w:p>
        </w:tc>
        <w:tc>
          <w:tcPr>
            <w:tcW w:type="pct" w:w="2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Exception raised</w:t>
            </w:r>
          </w:p>
        </w:tc>
      </w:tr>
      <w:tr>
        <w:tc>
          <w:tcPr>
            <w:tcW w:type="pct" w:w="3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Invalid ship-to</w:t>
            </w:r>
          </w:p>
        </w:tc>
        <w:tc>
          <w:tcPr>
            <w:tcW w:type="pct" w:w="4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us02-invalid-shipto.txt</w:t>
            </w:r>
          </w:p>
        </w:tc>
        <w:tc>
          <w:tcPr>
            <w:tcW w:type="pct" w:w="2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Exception raised</w:t>
            </w:r>
          </w:p>
        </w:tc>
      </w:tr>
      <w:tr>
        <w:tc>
          <w:tcPr>
            <w:tcW w:type="pct" w:w="30%"/>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Hierarchy mismatch</w:t>
            </w:r>
          </w:p>
        </w:tc>
        <w:tc>
          <w:tcPr>
            <w:tcW w:type="pct" w:w="46%"/>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us02-hierarchy-mismatch.txt</w:t>
            </w:r>
          </w:p>
        </w:tc>
        <w:tc>
          <w:tcPr>
            <w:tcW w:type="pct" w:w="24%"/>
            <w:tcMar>
              <w:top w:type="dxa" w:w="60"/>
              <w:left w:type="dxa" w:w="110"/>
              <w:bottom w:type="dxa" w:w="60"/>
              <w:right w:type="dxa" w:w="110"/>
            </w:tcMar>
            <w:vAlign w:val="center"/>
          </w:tcPr>
          <w:p>
            <w:pPr>
              <w:spacing w:after="20" w:before="20" w:line="252"/>
            </w:pPr>
            <w:r>
              <w:rPr>
                <w:rFonts w:ascii="Calibri" w:cs="Calibri" w:eastAsia="Calibri" w:hAnsi="Calibri"/>
                <w:b w:val="false"/>
                <w:bCs w:val="false"/>
                <w:color w:val="000000"/>
                <w:sz w:val="20"/>
                <w:szCs w:val="20"/>
              </w:rPr>
              <w:t xml:space="preserve">Exception raised</w:t>
            </w:r>
          </w:p>
        </w:tc>
      </w:tr>
    </w:tbl>
    <w:p>
      <w:pPr>
        <w:spacing w:after="120" w:before="60" w:line="276"/>
        <w:jc w:val="left"/>
      </w:pPr>
      <w:r>
        <w:rPr>
          <w:rFonts w:ascii="Calibri" w:cs="Calibri" w:eastAsia="Calibri" w:hAnsi="Calibri"/>
          <w:b w:val="false"/>
          <w:bCs w:val="false"/>
          <w:i w:val="false"/>
          <w:iCs w:val="false"/>
          <w:color w:val="000000"/>
          <w:sz w:val="22"/>
          <w:szCs w:val="22"/>
        </w:rPr>
        <w:t xml:space="preserve">Result: 5 of 5 scenarios produced the expected outcome.</w:t>
      </w:r>
    </w:p>
    <w:p>
      <w:pPr>
        <w:pStyle w:val="Heading1"/>
        <w:spacing w:after="140" w:before="280"/>
      </w:pPr>
      <w:r>
        <w:rPr>
          <w:rFonts w:ascii="Calibri" w:cs="Calibri" w:eastAsia="Calibri" w:hAnsi="Calibri"/>
          <w:b/>
          <w:bCs/>
          <w:color w:val="1E3A5F"/>
          <w:sz w:val="30"/>
          <w:szCs w:val="30"/>
        </w:rPr>
        <w:t xml:space="preserve">9. How to Run the Demo</w:t>
      </w:r>
    </w:p>
    <w:p>
      <w:pPr>
        <w:spacing w:after="120" w:before="60" w:line="276"/>
        <w:jc w:val="left"/>
      </w:pPr>
      <w:r>
        <w:rPr>
          <w:rFonts w:ascii="Calibri" w:cs="Calibri" w:eastAsia="Calibri" w:hAnsi="Calibri"/>
          <w:b w:val="false"/>
          <w:bCs w:val="false"/>
          <w:i w:val="false"/>
          <w:iCs w:val="false"/>
          <w:color w:val="000000"/>
          <w:sz w:val="22"/>
          <w:szCs w:val="22"/>
        </w:rPr>
        <w:t xml:space="preserve">The application runs locally with Python and Streamlit. Steps:</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Open a command prompt and go to the project folder: cd C:\projects\po-fullfiment-poc</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Install packages (first time only): python -m pip install -r requirements.txt</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Create sample + master data (first time only): python create_sample_excel.py  and  python create_master_data_excel.py</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Start the app: python -m streamlit run app.py</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The app opens in the browser at http://localhost:8501</w:t>
      </w:r>
    </w:p>
    <w:p>
      <w:pPr>
        <w:spacing w:after="60"/>
      </w:pPr>
      <w:r>
        <w:rPr>
          <w:rFonts w:ascii="Calibri" w:cs="Calibri" w:eastAsia="Calibri" w:hAnsi="Calibri"/>
          <w:b w:val="false"/>
          <w:bCs w:val="false"/>
          <w:i w:val="false"/>
          <w:iCs w:val="false"/>
          <w:color w:val="000000"/>
          <w:sz w:val="22"/>
          <w:szCs w:val="22"/>
        </w:rPr>
        <w:t xml:space="preserve"/>
      </w:r>
    </w:p>
    <w:p>
      <w:pPr>
        <w:spacing w:after="120" w:before="60" w:line="276"/>
        <w:jc w:val="left"/>
      </w:pPr>
      <w:r>
        <w:rPr>
          <w:rFonts w:ascii="Calibri" w:cs="Calibri" w:eastAsia="Calibri" w:hAnsi="Calibri"/>
          <w:b/>
          <w:bCs/>
          <w:i w:val="false"/>
          <w:iCs w:val="false"/>
          <w:color w:val="000000"/>
          <w:sz w:val="22"/>
          <w:szCs w:val="22"/>
        </w:rPr>
        <w:t xml:space="preserve">Demo flow:</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Paste a sample PO text (or upload an Excel PO) into the chat box.</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The agent shows US-01 extraction step by step, then the extracted fields with confidence.</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If US-01 is clean, the agent then runs US-02 and shows the resolved hierarchy and applied rules, or a clear exception.</w:t>
      </w:r>
    </w:p>
    <w:p>
      <w:pPr>
        <w:pStyle w:val="ListParagraph"/>
        <w:numPr>
          <w:ilvl w:val="0"/>
          <w:numId w:val="1"/>
        </w:numPr>
        <w:spacing w:after="60" w:before="20" w:line="276"/>
      </w:pPr>
      <w:r>
        <w:rPr>
          <w:rFonts w:ascii="Calibri" w:cs="Calibri" w:eastAsia="Calibri" w:hAnsi="Calibri"/>
          <w:b w:val="false"/>
          <w:bCs w:val="false"/>
          <w:i w:val="false"/>
          <w:iCs w:val="false"/>
          <w:color w:val="000000"/>
          <w:sz w:val="22"/>
          <w:szCs w:val="22"/>
        </w:rPr>
        <w:t xml:space="preserve">Use the four us02-*.txt sample files to demonstrate each exception type.</w:t>
      </w:r>
    </w:p>
    <w:p>
      <w:pPr>
        <w:pStyle w:val="Heading1"/>
        <w:spacing w:after="140" w:before="280"/>
      </w:pPr>
      <w:r>
        <w:rPr>
          <w:rFonts w:ascii="Calibri" w:cs="Calibri" w:eastAsia="Calibri" w:hAnsi="Calibri"/>
          <w:b/>
          <w:bCs/>
          <w:color w:val="1E3A5F"/>
          <w:sz w:val="30"/>
          <w:szCs w:val="30"/>
        </w:rPr>
        <w:t xml:space="preserve">10. Next Steps</w:t>
      </w:r>
    </w:p>
    <w:p>
      <w:pPr>
        <w:spacing w:after="120" w:before="60" w:line="276"/>
        <w:jc w:val="left"/>
      </w:pPr>
      <w:r>
        <w:rPr>
          <w:rFonts w:ascii="Calibri" w:cs="Calibri" w:eastAsia="Calibri" w:hAnsi="Calibri"/>
          <w:b w:val="false"/>
          <w:bCs w:val="false"/>
          <w:i w:val="false"/>
          <w:iCs w:val="false"/>
          <w:color w:val="000000"/>
          <w:sz w:val="22"/>
          <w:szCs w:val="22"/>
        </w:rPr>
        <w:t xml:space="preserve">With US-01 and US-02 working, the next user story (US-03 — Buyer Authorization, Product Visibility, and Ordering Rights) can be added as the next validation step in the same chat-style flow, again using mock data. The pattern established here (extract → validate → show result or exception → audit) will be reused for the remaining user stories up to US-12.</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2026-06-25T08:23:24.848Z</dcterms:created>
  <dcterms:modified xsi:type="dcterms:W3CDTF">2026-06-25T08:23:24.849Z</dcterms:modified>
</cp:coreProperties>
</file>

<file path=docProps/custom.xml><?xml version="1.0" encoding="utf-8"?>
<Properties xmlns="http://schemas.openxmlformats.org/officeDocument/2006/custom-properties" xmlns:vt="http://schemas.openxmlformats.org/officeDocument/2006/docPropsVTypes"/>
</file>