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36"/>
        </w:rPr>
        <w:t>Mock &amp; Sample Data Alignment with Business Reference Data</w:t>
      </w:r>
    </w:p>
    <w:p>
      <w:pPr>
        <w:jc w:val="center"/>
      </w:pPr>
      <w:r>
        <w:rPr>
          <w:color w:val="5A5A5A"/>
          <w:sz w:val="24"/>
        </w:rPr>
        <w:t>PO-to-Fulfillment Orchestration POC — Data Realism &amp; Schema Alignment</w:t>
      </w:r>
    </w:p>
    <w:p>
      <w:pPr>
        <w:jc w:val="center"/>
      </w:pPr>
      <w:r>
        <w:rPr>
          <w:color w:val="5A5A5A"/>
          <w:sz w:val="20"/>
        </w:rPr>
        <w:t>Prepared by: Sanjay Kumar Kesarvani     |     Date: 24 June 2026</w:t>
      </w:r>
    </w:p>
    <w:p/>
    <w:p>
      <w:pPr>
        <w:pStyle w:val="Heading1"/>
      </w:pPr>
      <w:r>
        <w:t>1. Purpose</w:t>
      </w:r>
    </w:p>
    <w:p>
      <w:r>
        <w:rPr>
          <w:b w:val="0"/>
          <w:i w:val="0"/>
          <w:sz w:val="21"/>
        </w:rPr>
        <w:t>The business team shared a reference workbook (Sample_data.xlsx) describing the canonical data model for the order-fulfillment process. The team confirmed that the POC may continue to use its own locally generated mock data and sample purchase orders, but that this reference workbook should be used to (a) align the schema and the relationships between data sets, and (b) add any missing columns and values so that no unexpected checks or validations fail during the client demonstration.</w:t>
      </w:r>
    </w:p>
    <w:p>
      <w:r>
        <w:rPr>
          <w:b w:val="0"/>
          <w:i w:val="0"/>
          <w:sz w:val="21"/>
        </w:rPr>
        <w:t>In addition, the data has been reworked so that it reads like genuine production data for a kitchen &amp; bath fixtures business. The catalogue of products and units of measure was modelled on a real fixtures manufacturer's public product range (used only as a reference for realism). To keep the POC neutral, the client's name does not appear anywhere in the data, and words such as “sample” or “demo” have been removed from the data content itself.</w:t>
      </w:r>
    </w:p>
    <w:p>
      <w:pPr>
        <w:pStyle w:val="Heading1"/>
      </w:pPr>
      <w:r>
        <w:t>2. How the Reference Workbook Was Interpreted</w:t>
      </w:r>
    </w:p>
    <w:p>
      <w:r>
        <w:rPr>
          <w:b w:val="0"/>
          <w:i w:val="0"/>
          <w:sz w:val="21"/>
        </w:rPr>
        <w:t>The reference workbook contains 27 inter-related tables. The “Schema Details” tab was read in full (212 column definitions) together with the “Key / Relationship” column, which identifies each primary key (PK) and foreign-key (FK) relationship. This established the entity-relationship map that the POC data now mirrors.</w:t>
      </w:r>
    </w:p>
    <w:p>
      <w:r>
        <w:rPr>
          <w:b/>
          <w:i w:val="0"/>
          <w:sz w:val="21"/>
        </w:rPr>
        <w:t>Key relationship chains followed from the reference schema:</w:t>
      </w:r>
    </w:p>
    <w:p>
      <w:pPr>
        <w:pStyle w:val="ListBullet"/>
      </w:pPr>
      <w:r>
        <w:rPr>
          <w:sz w:val="21"/>
        </w:rPr>
        <w:t>accounts (PK account_id) -&gt; ship_to_locations, buyers, cost_centers, pricing_contracts, promotions, surcharges, budgets, credit_profiles, invoice_aging, orders.</w:t>
      </w:r>
    </w:p>
    <w:p>
      <w:pPr>
        <w:pStyle w:val="ListBullet"/>
      </w:pPr>
      <w:r>
        <w:rPr>
          <w:sz w:val="21"/>
        </w:rPr>
        <w:t>product_master (PK sku) -&gt; uom_conversions, pricing_contracts, promotions, surcharges, inventory_balances, compliance_rules, compliance_documents, order_lines (and superseded_by_sku self-reference for obsolete items).</w:t>
      </w:r>
    </w:p>
    <w:p>
      <w:pPr>
        <w:pStyle w:val="ListBullet"/>
      </w:pPr>
      <w:r>
        <w:rPr>
          <w:sz w:val="21"/>
        </w:rPr>
        <w:t>warehouses (PK warehouse_id) -&gt; ship_to_locations.preferred_warehouse_id, inventory_balances, carrier_serviceability, order_lines.fulfillment_warehouse_id.</w:t>
      </w:r>
    </w:p>
    <w:p>
      <w:pPr>
        <w:pStyle w:val="ListBullet"/>
      </w:pPr>
      <w:r>
        <w:rPr>
          <w:sz w:val="21"/>
        </w:rPr>
        <w:t>buyers.approver_id -&gt; approvers; buyers.default_cost_center_id -&gt; cost_centers; budgets -&gt; accounts + cost_centers.</w:t>
      </w:r>
    </w:p>
    <w:p>
      <w:r>
        <w:rPr>
          <w:b w:val="0"/>
          <w:i w:val="0"/>
          <w:sz w:val="21"/>
        </w:rPr>
        <w:t>The POC keeps these same relationships, but organises the data into ten domain workbooks (one per orchestration stage) instead of a single 27-tab file. The mapping between the two layouts is given in Section 3.</w:t>
      </w:r>
    </w:p>
    <w:p>
      <w:pPr>
        <w:pStyle w:val="Heading1"/>
      </w:pPr>
      <w:r>
        <w:t>3. Reference Table -&gt; POC Workbook / Sheet Mapping</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E3A5F"/>
          </w:tcPr>
          <w:p>
            <w:r>
              <w:rPr>
                <w:b/>
                <w:color w:val="FFFFFF"/>
                <w:sz w:val="18"/>
              </w:rPr>
              <w:t>Reference table (27)</w:t>
            </w:r>
          </w:p>
        </w:tc>
        <w:tc>
          <w:tcPr>
            <w:tcW w:type="dxa" w:w="3118"/>
            <w:shd w:val="clear" w:color="auto" w:fill="1E3A5F"/>
          </w:tcPr>
          <w:p>
            <w:r>
              <w:rPr>
                <w:b/>
                <w:color w:val="FFFFFF"/>
                <w:sz w:val="18"/>
              </w:rPr>
              <w:t>POC workbook</w:t>
            </w:r>
          </w:p>
        </w:tc>
        <w:tc>
          <w:tcPr>
            <w:tcW w:type="dxa" w:w="3685"/>
            <w:shd w:val="clear" w:color="auto" w:fill="1E3A5F"/>
          </w:tcPr>
          <w:p>
            <w:r>
              <w:rPr>
                <w:b/>
                <w:color w:val="FFFFFF"/>
                <w:sz w:val="18"/>
              </w:rPr>
              <w:t>POC sheet(s)</w:t>
            </w:r>
          </w:p>
        </w:tc>
      </w:tr>
      <w:tr>
        <w:tc>
          <w:tcPr>
            <w:tcW w:type="dxa" w:w="3118"/>
            <w:shd w:val="clear" w:color="auto" w:fill="EEF3FA"/>
          </w:tcPr>
          <w:p>
            <w:r>
              <w:rPr>
                <w:sz w:val="17"/>
              </w:rPr>
              <w:t>po_intake_requests</w:t>
            </w:r>
          </w:p>
        </w:tc>
        <w:tc>
          <w:tcPr>
            <w:tcW w:type="dxa" w:w="3118"/>
            <w:shd w:val="clear" w:color="auto" w:fill="EEF3FA"/>
          </w:tcPr>
          <w:p>
            <w:r>
              <w:rPr>
                <w:sz w:val="17"/>
              </w:rPr>
              <w:t>(runtime)</w:t>
            </w:r>
          </w:p>
        </w:tc>
        <w:tc>
          <w:tcPr>
            <w:tcW w:type="dxa" w:w="3685"/>
            <w:shd w:val="clear" w:color="auto" w:fill="EEF3FA"/>
          </w:tcPr>
          <w:p>
            <w:r>
              <w:rPr>
                <w:sz w:val="17"/>
              </w:rPr>
              <w:t>Captured live by extractor.py from the PO</w:t>
            </w:r>
          </w:p>
        </w:tc>
      </w:tr>
      <w:tr>
        <w:tc>
          <w:tcPr>
            <w:tcW w:type="dxa" w:w="3118"/>
          </w:tcPr>
          <w:p>
            <w:r>
              <w:rPr>
                <w:sz w:val="17"/>
              </w:rPr>
              <w:t>accounts</w:t>
            </w:r>
          </w:p>
        </w:tc>
        <w:tc>
          <w:tcPr>
            <w:tcW w:type="dxa" w:w="3118"/>
          </w:tcPr>
          <w:p>
            <w:r>
              <w:rPr>
                <w:sz w:val="17"/>
              </w:rPr>
              <w:t>customer-master-data.xlsx</w:t>
            </w:r>
          </w:p>
        </w:tc>
        <w:tc>
          <w:tcPr>
            <w:tcW w:type="dxa" w:w="3685"/>
          </w:tcPr>
          <w:p>
            <w:r>
              <w:rPr>
                <w:sz w:val="17"/>
              </w:rPr>
              <w:t>Customer_Master, Account_Hierarchy</w:t>
            </w:r>
          </w:p>
        </w:tc>
      </w:tr>
      <w:tr>
        <w:tc>
          <w:tcPr>
            <w:tcW w:type="dxa" w:w="3118"/>
            <w:shd w:val="clear" w:color="auto" w:fill="EEF3FA"/>
          </w:tcPr>
          <w:p>
            <w:r>
              <w:rPr>
                <w:sz w:val="17"/>
              </w:rPr>
              <w:t>ship_to_locations</w:t>
            </w:r>
          </w:p>
        </w:tc>
        <w:tc>
          <w:tcPr>
            <w:tcW w:type="dxa" w:w="3118"/>
            <w:shd w:val="clear" w:color="auto" w:fill="EEF3FA"/>
          </w:tcPr>
          <w:p>
            <w:r>
              <w:rPr>
                <w:sz w:val="17"/>
              </w:rPr>
              <w:t>customer-master-data.xlsx</w:t>
            </w:r>
          </w:p>
        </w:tc>
        <w:tc>
          <w:tcPr>
            <w:tcW w:type="dxa" w:w="3685"/>
            <w:shd w:val="clear" w:color="auto" w:fill="EEF3FA"/>
          </w:tcPr>
          <w:p>
            <w:r>
              <w:rPr>
                <w:sz w:val="17"/>
              </w:rPr>
              <w:t>Ship_To_Master</w:t>
            </w:r>
          </w:p>
        </w:tc>
      </w:tr>
      <w:tr>
        <w:tc>
          <w:tcPr>
            <w:tcW w:type="dxa" w:w="3118"/>
          </w:tcPr>
          <w:p>
            <w:r>
              <w:rPr>
                <w:sz w:val="17"/>
              </w:rPr>
              <w:t>buyers</w:t>
            </w:r>
          </w:p>
        </w:tc>
        <w:tc>
          <w:tcPr>
            <w:tcW w:type="dxa" w:w="3118"/>
          </w:tcPr>
          <w:p>
            <w:r>
              <w:rPr>
                <w:sz w:val="17"/>
              </w:rPr>
              <w:t>buyer-master-data.xlsx</w:t>
            </w:r>
          </w:p>
        </w:tc>
        <w:tc>
          <w:tcPr>
            <w:tcW w:type="dxa" w:w="3685"/>
          </w:tcPr>
          <w:p>
            <w:r>
              <w:rPr>
                <w:sz w:val="17"/>
              </w:rPr>
              <w:t>Buyer_Profiles, User_Permissions</w:t>
            </w:r>
          </w:p>
        </w:tc>
      </w:tr>
      <w:tr>
        <w:tc>
          <w:tcPr>
            <w:tcW w:type="dxa" w:w="3118"/>
            <w:shd w:val="clear" w:color="auto" w:fill="EEF3FA"/>
          </w:tcPr>
          <w:p>
            <w:r>
              <w:rPr>
                <w:sz w:val="17"/>
              </w:rPr>
              <w:t>cost_centers</w:t>
            </w:r>
          </w:p>
        </w:tc>
        <w:tc>
          <w:tcPr>
            <w:tcW w:type="dxa" w:w="3118"/>
            <w:shd w:val="clear" w:color="auto" w:fill="EEF3FA"/>
          </w:tcPr>
          <w:p>
            <w:r>
              <w:rPr>
                <w:sz w:val="17"/>
              </w:rPr>
              <w:t>buyer/budget-master-data.xlsx</w:t>
            </w:r>
          </w:p>
        </w:tc>
        <w:tc>
          <w:tcPr>
            <w:tcW w:type="dxa" w:w="3685"/>
            <w:shd w:val="clear" w:color="auto" w:fill="EEF3FA"/>
          </w:tcPr>
          <w:p>
            <w:r>
              <w:rPr>
                <w:sz w:val="17"/>
              </w:rPr>
              <w:t>Cost_Centers</w:t>
            </w:r>
          </w:p>
        </w:tc>
      </w:tr>
      <w:tr>
        <w:tc>
          <w:tcPr>
            <w:tcW w:type="dxa" w:w="3118"/>
          </w:tcPr>
          <w:p>
            <w:r>
              <w:rPr>
                <w:sz w:val="17"/>
              </w:rPr>
              <w:t>approvers</w:t>
            </w:r>
          </w:p>
        </w:tc>
        <w:tc>
          <w:tcPr>
            <w:tcW w:type="dxa" w:w="3118"/>
          </w:tcPr>
          <w:p>
            <w:r>
              <w:rPr>
                <w:sz w:val="17"/>
              </w:rPr>
              <w:t>budget-master-data.xlsx</w:t>
            </w:r>
          </w:p>
        </w:tc>
        <w:tc>
          <w:tcPr>
            <w:tcW w:type="dxa" w:w="3685"/>
          </w:tcPr>
          <w:p>
            <w:r>
              <w:rPr>
                <w:sz w:val="17"/>
              </w:rPr>
              <w:t>Approval_Matrix</w:t>
            </w:r>
          </w:p>
        </w:tc>
      </w:tr>
      <w:tr>
        <w:tc>
          <w:tcPr>
            <w:tcW w:type="dxa" w:w="3118"/>
            <w:shd w:val="clear" w:color="auto" w:fill="EEF3FA"/>
          </w:tcPr>
          <w:p>
            <w:r>
              <w:rPr>
                <w:sz w:val="17"/>
              </w:rPr>
              <w:t>product_master</w:t>
            </w:r>
          </w:p>
        </w:tc>
        <w:tc>
          <w:tcPr>
            <w:tcW w:type="dxa" w:w="3118"/>
            <w:shd w:val="clear" w:color="auto" w:fill="EEF3FA"/>
          </w:tcPr>
          <w:p>
            <w:r>
              <w:rPr>
                <w:sz w:val="17"/>
              </w:rPr>
              <w:t>product-master-data.xlsx</w:t>
            </w:r>
          </w:p>
        </w:tc>
        <w:tc>
          <w:tcPr>
            <w:tcW w:type="dxa" w:w="3685"/>
            <w:shd w:val="clear" w:color="auto" w:fill="EEF3FA"/>
          </w:tcPr>
          <w:p>
            <w:r>
              <w:rPr>
                <w:sz w:val="17"/>
              </w:rPr>
              <w:t>Product_Master, Product_Attributes</w:t>
            </w:r>
          </w:p>
        </w:tc>
      </w:tr>
      <w:tr>
        <w:tc>
          <w:tcPr>
            <w:tcW w:type="dxa" w:w="3118"/>
          </w:tcPr>
          <w:p>
            <w:r>
              <w:rPr>
                <w:sz w:val="17"/>
              </w:rPr>
              <w:t>uom_conversions</w:t>
            </w:r>
          </w:p>
        </w:tc>
        <w:tc>
          <w:tcPr>
            <w:tcW w:type="dxa" w:w="3118"/>
          </w:tcPr>
          <w:p>
            <w:r>
              <w:rPr>
                <w:sz w:val="17"/>
              </w:rPr>
              <w:t>product-master-data.xlsx</w:t>
            </w:r>
          </w:p>
        </w:tc>
        <w:tc>
          <w:tcPr>
            <w:tcW w:type="dxa" w:w="3685"/>
          </w:tcPr>
          <w:p>
            <w:r>
              <w:rPr>
                <w:sz w:val="17"/>
              </w:rPr>
              <w:t>UOM_Conversions</w:t>
            </w:r>
          </w:p>
        </w:tc>
      </w:tr>
      <w:tr>
        <w:tc>
          <w:tcPr>
            <w:tcW w:type="dxa" w:w="3118"/>
            <w:shd w:val="clear" w:color="auto" w:fill="EEF3FA"/>
          </w:tcPr>
          <w:p>
            <w:r>
              <w:rPr>
                <w:sz w:val="17"/>
              </w:rPr>
              <w:t>pricing_contracts</w:t>
            </w:r>
          </w:p>
        </w:tc>
        <w:tc>
          <w:tcPr>
            <w:tcW w:type="dxa" w:w="3118"/>
            <w:shd w:val="clear" w:color="auto" w:fill="EEF3FA"/>
          </w:tcPr>
          <w:p>
            <w:r>
              <w:rPr>
                <w:sz w:val="17"/>
              </w:rPr>
              <w:t>pricing-master-data.xlsx</w:t>
            </w:r>
          </w:p>
        </w:tc>
        <w:tc>
          <w:tcPr>
            <w:tcW w:type="dxa" w:w="3685"/>
            <w:shd w:val="clear" w:color="auto" w:fill="EEF3FA"/>
          </w:tcPr>
          <w:p>
            <w:r>
              <w:rPr>
                <w:sz w:val="17"/>
              </w:rPr>
              <w:t>Contracts, Price_List</w:t>
            </w:r>
          </w:p>
        </w:tc>
      </w:tr>
      <w:tr>
        <w:tc>
          <w:tcPr>
            <w:tcW w:type="dxa" w:w="3118"/>
          </w:tcPr>
          <w:p>
            <w:r>
              <w:rPr>
                <w:sz w:val="17"/>
              </w:rPr>
              <w:t>volume_tiers</w:t>
            </w:r>
          </w:p>
        </w:tc>
        <w:tc>
          <w:tcPr>
            <w:tcW w:type="dxa" w:w="3118"/>
          </w:tcPr>
          <w:p>
            <w:r>
              <w:rPr>
                <w:sz w:val="17"/>
              </w:rPr>
              <w:t>pricing-master-data.xlsx</w:t>
            </w:r>
          </w:p>
        </w:tc>
        <w:tc>
          <w:tcPr>
            <w:tcW w:type="dxa" w:w="3685"/>
          </w:tcPr>
          <w:p>
            <w:r>
              <w:rPr>
                <w:sz w:val="17"/>
              </w:rPr>
              <w:t>Volume_Tiers</w:t>
            </w:r>
          </w:p>
        </w:tc>
      </w:tr>
      <w:tr>
        <w:tc>
          <w:tcPr>
            <w:tcW w:type="dxa" w:w="3118"/>
            <w:shd w:val="clear" w:color="auto" w:fill="EEF3FA"/>
          </w:tcPr>
          <w:p>
            <w:r>
              <w:rPr>
                <w:sz w:val="17"/>
              </w:rPr>
              <w:t>promotions</w:t>
            </w:r>
          </w:p>
        </w:tc>
        <w:tc>
          <w:tcPr>
            <w:tcW w:type="dxa" w:w="3118"/>
            <w:shd w:val="clear" w:color="auto" w:fill="EEF3FA"/>
          </w:tcPr>
          <w:p>
            <w:r>
              <w:rPr>
                <w:sz w:val="17"/>
              </w:rPr>
              <w:t>pricing-master-data.xlsx</w:t>
            </w:r>
          </w:p>
        </w:tc>
        <w:tc>
          <w:tcPr>
            <w:tcW w:type="dxa" w:w="3685"/>
            <w:shd w:val="clear" w:color="auto" w:fill="EEF3FA"/>
          </w:tcPr>
          <w:p>
            <w:r>
              <w:rPr>
                <w:sz w:val="17"/>
              </w:rPr>
              <w:t>Promotions</w:t>
            </w:r>
          </w:p>
        </w:tc>
      </w:tr>
      <w:tr>
        <w:tc>
          <w:tcPr>
            <w:tcW w:type="dxa" w:w="3118"/>
          </w:tcPr>
          <w:p>
            <w:r>
              <w:rPr>
                <w:sz w:val="17"/>
              </w:rPr>
              <w:t>surcharges</w:t>
            </w:r>
          </w:p>
        </w:tc>
        <w:tc>
          <w:tcPr>
            <w:tcW w:type="dxa" w:w="3118"/>
          </w:tcPr>
          <w:p>
            <w:r>
              <w:rPr>
                <w:sz w:val="17"/>
              </w:rPr>
              <w:t>pricing-master-data.xlsx</w:t>
            </w:r>
          </w:p>
        </w:tc>
        <w:tc>
          <w:tcPr>
            <w:tcW w:type="dxa" w:w="3685"/>
          </w:tcPr>
          <w:p>
            <w:r>
              <w:rPr>
                <w:sz w:val="17"/>
              </w:rPr>
              <w:t>Surcharges</w:t>
            </w:r>
          </w:p>
        </w:tc>
      </w:tr>
      <w:tr>
        <w:tc>
          <w:tcPr>
            <w:tcW w:type="dxa" w:w="3118"/>
            <w:shd w:val="clear" w:color="auto" w:fill="EEF3FA"/>
          </w:tcPr>
          <w:p>
            <w:r>
              <w:rPr>
                <w:sz w:val="17"/>
              </w:rPr>
              <w:t>warehouses</w:t>
            </w:r>
          </w:p>
        </w:tc>
        <w:tc>
          <w:tcPr>
            <w:tcW w:type="dxa" w:w="3118"/>
            <w:shd w:val="clear" w:color="auto" w:fill="EEF3FA"/>
          </w:tcPr>
          <w:p>
            <w:r>
              <w:rPr>
                <w:sz w:val="17"/>
              </w:rPr>
              <w:t>logistics-master-data.xlsx</w:t>
            </w:r>
          </w:p>
        </w:tc>
        <w:tc>
          <w:tcPr>
            <w:tcW w:type="dxa" w:w="3685"/>
            <w:shd w:val="clear" w:color="auto" w:fill="EEF3FA"/>
          </w:tcPr>
          <w:p>
            <w:r>
              <w:rPr>
                <w:sz w:val="17"/>
              </w:rPr>
              <w:t>Warehouse_Master</w:t>
            </w:r>
          </w:p>
        </w:tc>
      </w:tr>
      <w:tr>
        <w:tc>
          <w:tcPr>
            <w:tcW w:type="dxa" w:w="3118"/>
          </w:tcPr>
          <w:p>
            <w:r>
              <w:rPr>
                <w:sz w:val="17"/>
              </w:rPr>
              <w:t>inventory_balances</w:t>
            </w:r>
          </w:p>
        </w:tc>
        <w:tc>
          <w:tcPr>
            <w:tcW w:type="dxa" w:w="3118"/>
          </w:tcPr>
          <w:p>
            <w:r>
              <w:rPr>
                <w:sz w:val="17"/>
              </w:rPr>
              <w:t>inventory-master-data.xlsx</w:t>
            </w:r>
          </w:p>
        </w:tc>
        <w:tc>
          <w:tcPr>
            <w:tcW w:type="dxa" w:w="3685"/>
          </w:tcPr>
          <w:p>
            <w:r>
              <w:rPr>
                <w:sz w:val="17"/>
              </w:rPr>
              <w:t>Plant_Stock, DC_Stock, In_Transit, ATP</w:t>
            </w:r>
          </w:p>
        </w:tc>
      </w:tr>
      <w:tr>
        <w:tc>
          <w:tcPr>
            <w:tcW w:type="dxa" w:w="3118"/>
            <w:shd w:val="clear" w:color="auto" w:fill="EEF3FA"/>
          </w:tcPr>
          <w:p>
            <w:r>
              <w:rPr>
                <w:sz w:val="17"/>
              </w:rPr>
              <w:t>carrier_serviceability</w:t>
            </w:r>
          </w:p>
        </w:tc>
        <w:tc>
          <w:tcPr>
            <w:tcW w:type="dxa" w:w="3118"/>
            <w:shd w:val="clear" w:color="auto" w:fill="EEF3FA"/>
          </w:tcPr>
          <w:p>
            <w:r>
              <w:rPr>
                <w:sz w:val="17"/>
              </w:rPr>
              <w:t>logistics-master-data.xlsx</w:t>
            </w:r>
          </w:p>
        </w:tc>
        <w:tc>
          <w:tcPr>
            <w:tcW w:type="dxa" w:w="3685"/>
            <w:shd w:val="clear" w:color="auto" w:fill="EEF3FA"/>
          </w:tcPr>
          <w:p>
            <w:r>
              <w:rPr>
                <w:sz w:val="17"/>
              </w:rPr>
              <w:t>Carrier_Coverage, Freight_Rating</w:t>
            </w:r>
          </w:p>
        </w:tc>
      </w:tr>
      <w:tr>
        <w:tc>
          <w:tcPr>
            <w:tcW w:type="dxa" w:w="3118"/>
          </w:tcPr>
          <w:p>
            <w:r>
              <w:rPr>
                <w:sz w:val="17"/>
              </w:rPr>
              <w:t>compliance_rules</w:t>
            </w:r>
          </w:p>
        </w:tc>
        <w:tc>
          <w:tcPr>
            <w:tcW w:type="dxa" w:w="3118"/>
          </w:tcPr>
          <w:p>
            <w:r>
              <w:rPr>
                <w:sz w:val="17"/>
              </w:rPr>
              <w:t>compliance-master-data.xlsx</w:t>
            </w:r>
          </w:p>
        </w:tc>
        <w:tc>
          <w:tcPr>
            <w:tcW w:type="dxa" w:w="3685"/>
          </w:tcPr>
          <w:p>
            <w:r>
              <w:rPr>
                <w:sz w:val="17"/>
              </w:rPr>
              <w:t>Compliance_Rules, Regional_Restrictions</w:t>
            </w:r>
          </w:p>
        </w:tc>
      </w:tr>
      <w:tr>
        <w:tc>
          <w:tcPr>
            <w:tcW w:type="dxa" w:w="3118"/>
            <w:shd w:val="clear" w:color="auto" w:fill="EEF3FA"/>
          </w:tcPr>
          <w:p>
            <w:r>
              <w:rPr>
                <w:sz w:val="17"/>
              </w:rPr>
              <w:t>compliance_documents</w:t>
            </w:r>
          </w:p>
        </w:tc>
        <w:tc>
          <w:tcPr>
            <w:tcW w:type="dxa" w:w="3118"/>
            <w:shd w:val="clear" w:color="auto" w:fill="EEF3FA"/>
          </w:tcPr>
          <w:p>
            <w:r>
              <w:rPr>
                <w:sz w:val="17"/>
              </w:rPr>
              <w:t>compliance-master-data.xlsx</w:t>
            </w:r>
          </w:p>
        </w:tc>
        <w:tc>
          <w:tcPr>
            <w:tcW w:type="dxa" w:w="3685"/>
            <w:shd w:val="clear" w:color="auto" w:fill="EEF3FA"/>
          </w:tcPr>
          <w:p>
            <w:r>
              <w:rPr>
                <w:sz w:val="17"/>
              </w:rPr>
              <w:t>SDS_Repository</w:t>
            </w:r>
          </w:p>
        </w:tc>
      </w:tr>
      <w:tr>
        <w:tc>
          <w:tcPr>
            <w:tcW w:type="dxa" w:w="3118"/>
          </w:tcPr>
          <w:p>
            <w:r>
              <w:rPr>
                <w:sz w:val="17"/>
              </w:rPr>
              <w:t>budgets</w:t>
            </w:r>
          </w:p>
        </w:tc>
        <w:tc>
          <w:tcPr>
            <w:tcW w:type="dxa" w:w="3118"/>
          </w:tcPr>
          <w:p>
            <w:r>
              <w:rPr>
                <w:sz w:val="17"/>
              </w:rPr>
              <w:t>budget-master-data.xlsx</w:t>
            </w:r>
          </w:p>
        </w:tc>
        <w:tc>
          <w:tcPr>
            <w:tcW w:type="dxa" w:w="3685"/>
          </w:tcPr>
          <w:p>
            <w:r>
              <w:rPr>
                <w:sz w:val="17"/>
              </w:rPr>
              <w:t>Budget_Master, Cost_Centers</w:t>
            </w:r>
          </w:p>
        </w:tc>
      </w:tr>
      <w:tr>
        <w:tc>
          <w:tcPr>
            <w:tcW w:type="dxa" w:w="3118"/>
            <w:shd w:val="clear" w:color="auto" w:fill="EEF3FA"/>
          </w:tcPr>
          <w:p>
            <w:r>
              <w:rPr>
                <w:sz w:val="17"/>
              </w:rPr>
              <w:t>credit_profiles</w:t>
            </w:r>
          </w:p>
        </w:tc>
        <w:tc>
          <w:tcPr>
            <w:tcW w:type="dxa" w:w="3118"/>
            <w:shd w:val="clear" w:color="auto" w:fill="EEF3FA"/>
          </w:tcPr>
          <w:p>
            <w:r>
              <w:rPr>
                <w:sz w:val="17"/>
              </w:rPr>
              <w:t>credit-master-data.xlsx</w:t>
            </w:r>
          </w:p>
        </w:tc>
        <w:tc>
          <w:tcPr>
            <w:tcW w:type="dxa" w:w="3685"/>
            <w:shd w:val="clear" w:color="auto" w:fill="EEF3FA"/>
          </w:tcPr>
          <w:p>
            <w:r>
              <w:rPr>
                <w:sz w:val="17"/>
              </w:rPr>
              <w:t>Credit_Master, Risk_Signals</w:t>
            </w:r>
          </w:p>
        </w:tc>
      </w:tr>
      <w:tr>
        <w:tc>
          <w:tcPr>
            <w:tcW w:type="dxa" w:w="3118"/>
          </w:tcPr>
          <w:p>
            <w:r>
              <w:rPr>
                <w:sz w:val="17"/>
              </w:rPr>
              <w:t>invoice_aging</w:t>
            </w:r>
          </w:p>
        </w:tc>
        <w:tc>
          <w:tcPr>
            <w:tcW w:type="dxa" w:w="3118"/>
          </w:tcPr>
          <w:p>
            <w:r>
              <w:rPr>
                <w:sz w:val="17"/>
              </w:rPr>
              <w:t>credit-master-data.xlsx</w:t>
            </w:r>
          </w:p>
        </w:tc>
        <w:tc>
          <w:tcPr>
            <w:tcW w:type="dxa" w:w="3685"/>
          </w:tcPr>
          <w:p>
            <w:r>
              <w:rPr>
                <w:sz w:val="17"/>
              </w:rPr>
              <w:t>Invoice_Aging, Payment_History</w:t>
            </w:r>
          </w:p>
        </w:tc>
      </w:tr>
      <w:tr>
        <w:tc>
          <w:tcPr>
            <w:tcW w:type="dxa" w:w="3118"/>
            <w:shd w:val="clear" w:color="auto" w:fill="EEF3FA"/>
          </w:tcPr>
          <w:p>
            <w:r>
              <w:rPr>
                <w:sz w:val="17"/>
              </w:rPr>
              <w:t>orders / order_lines</w:t>
            </w:r>
          </w:p>
        </w:tc>
        <w:tc>
          <w:tcPr>
            <w:tcW w:type="dxa" w:w="3118"/>
            <w:shd w:val="clear" w:color="auto" w:fill="EEF3FA"/>
          </w:tcPr>
          <w:p>
            <w:r>
              <w:rPr>
                <w:sz w:val="17"/>
              </w:rPr>
              <w:t>(runtime)</w:t>
            </w:r>
          </w:p>
        </w:tc>
        <w:tc>
          <w:tcPr>
            <w:tcW w:type="dxa" w:w="3685"/>
            <w:shd w:val="clear" w:color="auto" w:fill="EEF3FA"/>
          </w:tcPr>
          <w:p>
            <w:r>
              <w:rPr>
                <w:sz w:val="17"/>
              </w:rPr>
              <w:t>Built by pipeline; ERP order id mocked at execution</w:t>
            </w:r>
          </w:p>
        </w:tc>
      </w:tr>
      <w:tr>
        <w:tc>
          <w:tcPr>
            <w:tcW w:type="dxa" w:w="3118"/>
          </w:tcPr>
          <w:p>
            <w:r>
              <w:rPr>
                <w:sz w:val="17"/>
              </w:rPr>
              <w:t>price_waterfall_lines</w:t>
            </w:r>
          </w:p>
        </w:tc>
        <w:tc>
          <w:tcPr>
            <w:tcW w:type="dxa" w:w="3118"/>
          </w:tcPr>
          <w:p>
            <w:r>
              <w:rPr>
                <w:sz w:val="17"/>
              </w:rPr>
              <w:t>(runtime)</w:t>
            </w:r>
          </w:p>
        </w:tc>
        <w:tc>
          <w:tcPr>
            <w:tcW w:type="dxa" w:w="3685"/>
          </w:tcPr>
          <w:p>
            <w:r>
              <w:rPr>
                <w:sz w:val="17"/>
              </w:rPr>
              <w:t>Produced by pricing_engine.py</w:t>
            </w:r>
          </w:p>
        </w:tc>
      </w:tr>
      <w:tr>
        <w:tc>
          <w:tcPr>
            <w:tcW w:type="dxa" w:w="3118"/>
            <w:shd w:val="clear" w:color="auto" w:fill="EEF3FA"/>
          </w:tcPr>
          <w:p>
            <w:r>
              <w:rPr>
                <w:sz w:val="17"/>
              </w:rPr>
              <w:t>approval_requests</w:t>
            </w:r>
          </w:p>
        </w:tc>
        <w:tc>
          <w:tcPr>
            <w:tcW w:type="dxa" w:w="3118"/>
            <w:shd w:val="clear" w:color="auto" w:fill="EEF3FA"/>
          </w:tcPr>
          <w:p>
            <w:r>
              <w:rPr>
                <w:sz w:val="17"/>
              </w:rPr>
              <w:t>(runtime)</w:t>
            </w:r>
          </w:p>
        </w:tc>
        <w:tc>
          <w:tcPr>
            <w:tcW w:type="dxa" w:w="3685"/>
            <w:shd w:val="clear" w:color="auto" w:fill="EEF3FA"/>
          </w:tcPr>
          <w:p>
            <w:r>
              <w:rPr>
                <w:sz w:val="17"/>
              </w:rPr>
              <w:t>Produced by budget_approval.py + mock email</w:t>
            </w:r>
          </w:p>
        </w:tc>
      </w:tr>
      <w:tr>
        <w:tc>
          <w:tcPr>
            <w:tcW w:type="dxa" w:w="3118"/>
          </w:tcPr>
          <w:p>
            <w:r>
              <w:rPr>
                <w:sz w:val="17"/>
              </w:rPr>
              <w:t>exceptions</w:t>
            </w:r>
          </w:p>
        </w:tc>
        <w:tc>
          <w:tcPr>
            <w:tcW w:type="dxa" w:w="3118"/>
          </w:tcPr>
          <w:p>
            <w:r>
              <w:rPr>
                <w:sz w:val="17"/>
              </w:rPr>
              <w:t>exception-governance-master-data.xlsx</w:t>
            </w:r>
          </w:p>
        </w:tc>
        <w:tc>
          <w:tcPr>
            <w:tcW w:type="dxa" w:w="3685"/>
          </w:tcPr>
          <w:p>
            <w:r>
              <w:rPr>
                <w:sz w:val="17"/>
              </w:rPr>
              <w:t>Severity_Matrix, Role_Routing</w:t>
            </w:r>
          </w:p>
        </w:tc>
      </w:tr>
      <w:tr>
        <w:tc>
          <w:tcPr>
            <w:tcW w:type="dxa" w:w="3118"/>
            <w:shd w:val="clear" w:color="auto" w:fill="EEF3FA"/>
          </w:tcPr>
          <w:p>
            <w:r>
              <w:rPr>
                <w:sz w:val="17"/>
              </w:rPr>
              <w:t>agent_audit_log</w:t>
            </w:r>
          </w:p>
        </w:tc>
        <w:tc>
          <w:tcPr>
            <w:tcW w:type="dxa" w:w="3118"/>
            <w:shd w:val="clear" w:color="auto" w:fill="EEF3FA"/>
          </w:tcPr>
          <w:p>
            <w:r>
              <w:rPr>
                <w:sz w:val="17"/>
              </w:rPr>
              <w:t>(runtime)</w:t>
            </w:r>
          </w:p>
        </w:tc>
        <w:tc>
          <w:tcPr>
            <w:tcW w:type="dxa" w:w="3685"/>
            <w:shd w:val="clear" w:color="auto" w:fill="EEF3FA"/>
          </w:tcPr>
          <w:p>
            <w:r>
              <w:rPr>
                <w:sz w:val="17"/>
              </w:rPr>
              <w:t>Each stage logs decision + rule + confidence</w:t>
            </w:r>
          </w:p>
        </w:tc>
      </w:tr>
      <w:tr>
        <w:tc>
          <w:tcPr>
            <w:tcW w:type="dxa" w:w="3118"/>
          </w:tcPr>
          <w:p>
            <w:r>
              <w:rPr>
                <w:sz w:val="17"/>
              </w:rPr>
              <w:t>downstream_execution_events</w:t>
            </w:r>
          </w:p>
        </w:tc>
        <w:tc>
          <w:tcPr>
            <w:tcW w:type="dxa" w:w="3118"/>
          </w:tcPr>
          <w:p>
            <w:r>
              <w:rPr>
                <w:sz w:val="17"/>
              </w:rPr>
              <w:t>execution-master-data.xlsx</w:t>
            </w:r>
          </w:p>
        </w:tc>
        <w:tc>
          <w:tcPr>
            <w:tcW w:type="dxa" w:w="3685"/>
          </w:tcPr>
          <w:p>
            <w:r>
              <w:rPr>
                <w:sz w:val="17"/>
              </w:rPr>
              <w:t>Integration_Endpoints (mocked)</w:t>
            </w:r>
          </w:p>
        </w:tc>
      </w:tr>
    </w:tbl>
    <w:p/>
    <w:p>
      <w:pPr>
        <w:pStyle w:val="Heading1"/>
      </w:pPr>
      <w:r>
        <w:t>4. Product Catalogue Adjustments (realistic kitchen &amp; bath range)</w:t>
      </w:r>
    </w:p>
    <w:p>
      <w:r>
        <w:rPr>
          <w:b w:val="0"/>
          <w:i w:val="0"/>
          <w:sz w:val="21"/>
        </w:rPr>
        <w:t>The previous catalogue used generic industrial items (steel pipe, flanges, valves, pumps, gaskets, chemicals). These were replaced with a realistic kitchen &amp; bath fixtures range. Internal SKU identifiers, list prices and quantities were preserved so that all pricing, budget, credit and inventory thresholds continue to behave exactly as validated, while descriptions, product families, materials and units of measure now reflect real fixtures.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814"/>
            <w:shd w:val="clear" w:color="auto" w:fill="1E3A5F"/>
          </w:tcPr>
          <w:p>
            <w:r>
              <w:rPr>
                <w:b/>
                <w:color w:val="FFFFFF"/>
                <w:sz w:val="18"/>
              </w:rPr>
              <w:t>SKU</w:t>
            </w:r>
          </w:p>
        </w:tc>
        <w:tc>
          <w:tcPr>
            <w:tcW w:type="dxa" w:w="4252"/>
            <w:shd w:val="clear" w:color="auto" w:fill="1E3A5F"/>
          </w:tcPr>
          <w:p>
            <w:r>
              <w:rPr>
                <w:b/>
                <w:color w:val="FFFFFF"/>
                <w:sz w:val="18"/>
              </w:rPr>
              <w:t>New description</w:t>
            </w:r>
          </w:p>
        </w:tc>
        <w:tc>
          <w:tcPr>
            <w:tcW w:type="dxa" w:w="1701"/>
            <w:shd w:val="clear" w:color="auto" w:fill="1E3A5F"/>
          </w:tcPr>
          <w:p>
            <w:r>
              <w:rPr>
                <w:b/>
                <w:color w:val="FFFFFF"/>
                <w:sz w:val="18"/>
              </w:rPr>
              <w:t>Family</w:t>
            </w:r>
          </w:p>
        </w:tc>
        <w:tc>
          <w:tcPr>
            <w:tcW w:type="dxa" w:w="1134"/>
            <w:shd w:val="clear" w:color="auto" w:fill="1E3A5F"/>
          </w:tcPr>
          <w:p>
            <w:r>
              <w:rPr>
                <w:b/>
                <w:color w:val="FFFFFF"/>
                <w:sz w:val="18"/>
              </w:rPr>
              <w:t>Base UOM</w:t>
            </w:r>
          </w:p>
        </w:tc>
        <w:tc>
          <w:tcPr>
            <w:tcW w:type="dxa" w:w="1304"/>
            <w:shd w:val="clear" w:color="auto" w:fill="1E3A5F"/>
          </w:tcPr>
          <w:p>
            <w:r>
              <w:rPr>
                <w:b/>
                <w:color w:val="FFFFFF"/>
                <w:sz w:val="18"/>
              </w:rPr>
              <w:t>List price</w:t>
            </w:r>
          </w:p>
        </w:tc>
      </w:tr>
      <w:tr>
        <w:tc>
          <w:tcPr>
            <w:tcW w:type="dxa" w:w="1814"/>
            <w:shd w:val="clear" w:color="auto" w:fill="EEF3FA"/>
          </w:tcPr>
          <w:p>
            <w:r>
              <w:rPr>
                <w:sz w:val="17"/>
              </w:rPr>
              <w:t>SKU-CTG-4520</w:t>
            </w:r>
          </w:p>
        </w:tc>
        <w:tc>
          <w:tcPr>
            <w:tcW w:type="dxa" w:w="4252"/>
            <w:shd w:val="clear" w:color="auto" w:fill="EEF3FA"/>
          </w:tcPr>
          <w:p>
            <w:r>
              <w:rPr>
                <w:sz w:val="17"/>
              </w:rPr>
              <w:t>Ceramic Disc Faucet Cartridge, Single-Control</w:t>
            </w:r>
          </w:p>
        </w:tc>
        <w:tc>
          <w:tcPr>
            <w:tcW w:type="dxa" w:w="1701"/>
            <w:shd w:val="clear" w:color="auto" w:fill="EEF3FA"/>
          </w:tcPr>
          <w:p>
            <w:r>
              <w:rPr>
                <w:sz w:val="17"/>
              </w:rPr>
              <w:t>CARTRIDGE</w:t>
            </w:r>
          </w:p>
        </w:tc>
        <w:tc>
          <w:tcPr>
            <w:tcW w:type="dxa" w:w="1134"/>
            <w:shd w:val="clear" w:color="auto" w:fill="EEF3FA"/>
          </w:tcPr>
          <w:p>
            <w:r>
              <w:rPr>
                <w:sz w:val="17"/>
              </w:rPr>
              <w:t>EA</w:t>
            </w:r>
          </w:p>
        </w:tc>
        <w:tc>
          <w:tcPr>
            <w:tcW w:type="dxa" w:w="1304"/>
            <w:shd w:val="clear" w:color="auto" w:fill="EEF3FA"/>
          </w:tcPr>
          <w:p>
            <w:r>
              <w:rPr>
                <w:sz w:val="17"/>
              </w:rPr>
              <w:t>$12.50</w:t>
            </w:r>
          </w:p>
        </w:tc>
      </w:tr>
      <w:tr>
        <w:tc>
          <w:tcPr>
            <w:tcW w:type="dxa" w:w="1814"/>
          </w:tcPr>
          <w:p>
            <w:r>
              <w:rPr>
                <w:sz w:val="17"/>
              </w:rPr>
              <w:t>SKU-DRN-3010</w:t>
            </w:r>
          </w:p>
        </w:tc>
        <w:tc>
          <w:tcPr>
            <w:tcW w:type="dxa" w:w="4252"/>
          </w:tcPr>
          <w:p>
            <w:r>
              <w:rPr>
                <w:sz w:val="17"/>
              </w:rPr>
              <w:t>Pop-Up Drain Assembly, Brushed Nickel</w:t>
            </w:r>
          </w:p>
        </w:tc>
        <w:tc>
          <w:tcPr>
            <w:tcW w:type="dxa" w:w="1701"/>
          </w:tcPr>
          <w:p>
            <w:r>
              <w:rPr>
                <w:sz w:val="17"/>
              </w:rPr>
              <w:t>DRAIN</w:t>
            </w:r>
          </w:p>
        </w:tc>
        <w:tc>
          <w:tcPr>
            <w:tcW w:type="dxa" w:w="1134"/>
          </w:tcPr>
          <w:p>
            <w:r>
              <w:rPr>
                <w:sz w:val="17"/>
              </w:rPr>
              <w:t>EA</w:t>
            </w:r>
          </w:p>
        </w:tc>
        <w:tc>
          <w:tcPr>
            <w:tcW w:type="dxa" w:w="1304"/>
          </w:tcPr>
          <w:p>
            <w:r>
              <w:rPr>
                <w:sz w:val="17"/>
              </w:rPr>
              <w:t>$45.00</w:t>
            </w:r>
          </w:p>
        </w:tc>
      </w:tr>
      <w:tr>
        <w:tc>
          <w:tcPr>
            <w:tcW w:type="dxa" w:w="1814"/>
            <w:shd w:val="clear" w:color="auto" w:fill="EEF3FA"/>
          </w:tcPr>
          <w:p>
            <w:r>
              <w:rPr>
                <w:sz w:val="17"/>
              </w:rPr>
              <w:t>SKU-VLV-2201</w:t>
            </w:r>
          </w:p>
        </w:tc>
        <w:tc>
          <w:tcPr>
            <w:tcW w:type="dxa" w:w="4252"/>
            <w:shd w:val="clear" w:color="auto" w:fill="EEF3FA"/>
          </w:tcPr>
          <w:p>
            <w:r>
              <w:rPr>
                <w:sz w:val="17"/>
              </w:rPr>
              <w:t>Pressure-Balancing Shower Valve, 1/2 in</w:t>
            </w:r>
          </w:p>
        </w:tc>
        <w:tc>
          <w:tcPr>
            <w:tcW w:type="dxa" w:w="1701"/>
            <w:shd w:val="clear" w:color="auto" w:fill="EEF3FA"/>
          </w:tcPr>
          <w:p>
            <w:r>
              <w:rPr>
                <w:sz w:val="17"/>
              </w:rPr>
              <w:t>VALVE</w:t>
            </w:r>
          </w:p>
        </w:tc>
        <w:tc>
          <w:tcPr>
            <w:tcW w:type="dxa" w:w="1134"/>
            <w:shd w:val="clear" w:color="auto" w:fill="EEF3FA"/>
          </w:tcPr>
          <w:p>
            <w:r>
              <w:rPr>
                <w:sz w:val="17"/>
              </w:rPr>
              <w:t>EA</w:t>
            </w:r>
          </w:p>
        </w:tc>
        <w:tc>
          <w:tcPr>
            <w:tcW w:type="dxa" w:w="1304"/>
            <w:shd w:val="clear" w:color="auto" w:fill="EEF3FA"/>
          </w:tcPr>
          <w:p>
            <w:r>
              <w:rPr>
                <w:sz w:val="17"/>
              </w:rPr>
              <w:t>$88.00</w:t>
            </w:r>
          </w:p>
        </w:tc>
      </w:tr>
      <w:tr>
        <w:tc>
          <w:tcPr>
            <w:tcW w:type="dxa" w:w="1814"/>
          </w:tcPr>
          <w:p>
            <w:r>
              <w:rPr>
                <w:sz w:val="17"/>
              </w:rPr>
              <w:t>SKU-SHS-7700</w:t>
            </w:r>
          </w:p>
        </w:tc>
        <w:tc>
          <w:tcPr>
            <w:tcW w:type="dxa" w:w="4252"/>
          </w:tcPr>
          <w:p>
            <w:r>
              <w:rPr>
                <w:sz w:val="17"/>
              </w:rPr>
              <w:t>Digital Shower Interface System</w:t>
            </w:r>
          </w:p>
        </w:tc>
        <w:tc>
          <w:tcPr>
            <w:tcW w:type="dxa" w:w="1701"/>
          </w:tcPr>
          <w:p>
            <w:r>
              <w:rPr>
                <w:sz w:val="17"/>
              </w:rPr>
              <w:t>SHOWERSYS</w:t>
            </w:r>
          </w:p>
        </w:tc>
        <w:tc>
          <w:tcPr>
            <w:tcW w:type="dxa" w:w="1134"/>
          </w:tcPr>
          <w:p>
            <w:r>
              <w:rPr>
                <w:sz w:val="17"/>
              </w:rPr>
              <w:t>EA</w:t>
            </w:r>
          </w:p>
        </w:tc>
        <w:tc>
          <w:tcPr>
            <w:tcW w:type="dxa" w:w="1304"/>
          </w:tcPr>
          <w:p>
            <w:r>
              <w:rPr>
                <w:sz w:val="17"/>
              </w:rPr>
              <w:t>$1,450.00</w:t>
            </w:r>
          </w:p>
        </w:tc>
      </w:tr>
      <w:tr>
        <w:tc>
          <w:tcPr>
            <w:tcW w:type="dxa" w:w="1814"/>
            <w:shd w:val="clear" w:color="auto" w:fill="EEF3FA"/>
          </w:tcPr>
          <w:p>
            <w:r>
              <w:rPr>
                <w:sz w:val="17"/>
              </w:rPr>
              <w:t>SKU-FIN-9100</w:t>
            </w:r>
          </w:p>
        </w:tc>
        <w:tc>
          <w:tcPr>
            <w:tcW w:type="dxa" w:w="4252"/>
            <w:shd w:val="clear" w:color="auto" w:fill="EEF3FA"/>
          </w:tcPr>
          <w:p>
            <w:r>
              <w:rPr>
                <w:sz w:val="17"/>
              </w:rPr>
              <w:t>Enameled Cast Iron Touch-Up Finish, White</w:t>
            </w:r>
          </w:p>
        </w:tc>
        <w:tc>
          <w:tcPr>
            <w:tcW w:type="dxa" w:w="1701"/>
            <w:shd w:val="clear" w:color="auto" w:fill="EEF3FA"/>
          </w:tcPr>
          <w:p>
            <w:r>
              <w:rPr>
                <w:sz w:val="17"/>
              </w:rPr>
              <w:t>FINISH</w:t>
            </w:r>
          </w:p>
        </w:tc>
        <w:tc>
          <w:tcPr>
            <w:tcW w:type="dxa" w:w="1134"/>
            <w:shd w:val="clear" w:color="auto" w:fill="EEF3FA"/>
          </w:tcPr>
          <w:p>
            <w:r>
              <w:rPr>
                <w:sz w:val="17"/>
              </w:rPr>
              <w:t>GAL</w:t>
            </w:r>
          </w:p>
        </w:tc>
        <w:tc>
          <w:tcPr>
            <w:tcW w:type="dxa" w:w="1304"/>
            <w:shd w:val="clear" w:color="auto" w:fill="EEF3FA"/>
          </w:tcPr>
          <w:p>
            <w:r>
              <w:rPr>
                <w:sz w:val="17"/>
              </w:rPr>
              <w:t>$9.75</w:t>
            </w:r>
          </w:p>
        </w:tc>
      </w:tr>
      <w:tr>
        <w:tc>
          <w:tcPr>
            <w:tcW w:type="dxa" w:w="1814"/>
          </w:tcPr>
          <w:p>
            <w:r>
              <w:rPr>
                <w:sz w:val="17"/>
              </w:rPr>
              <w:t>SKU-FIN-9200</w:t>
            </w:r>
          </w:p>
        </w:tc>
        <w:tc>
          <w:tcPr>
            <w:tcW w:type="dxa" w:w="4252"/>
          </w:tcPr>
          <w:p>
            <w:r>
              <w:rPr>
                <w:sz w:val="17"/>
              </w:rPr>
              <w:t>Cast Iron Touch-Up Aerosol, Almond (SDS pending)</w:t>
            </w:r>
          </w:p>
        </w:tc>
        <w:tc>
          <w:tcPr>
            <w:tcW w:type="dxa" w:w="1701"/>
          </w:tcPr>
          <w:p>
            <w:r>
              <w:rPr>
                <w:sz w:val="17"/>
              </w:rPr>
              <w:t>FINISH</w:t>
            </w:r>
          </w:p>
        </w:tc>
        <w:tc>
          <w:tcPr>
            <w:tcW w:type="dxa" w:w="1134"/>
          </w:tcPr>
          <w:p>
            <w:r>
              <w:rPr>
                <w:sz w:val="17"/>
              </w:rPr>
              <w:t>GAL</w:t>
            </w:r>
          </w:p>
        </w:tc>
        <w:tc>
          <w:tcPr>
            <w:tcW w:type="dxa" w:w="1304"/>
          </w:tcPr>
          <w:p>
            <w:r>
              <w:rPr>
                <w:sz w:val="17"/>
              </w:rPr>
              <w:t>$14.00</w:t>
            </w:r>
          </w:p>
        </w:tc>
      </w:tr>
      <w:tr>
        <w:tc>
          <w:tcPr>
            <w:tcW w:type="dxa" w:w="1814"/>
            <w:shd w:val="clear" w:color="auto" w:fill="EEF3FA"/>
          </w:tcPr>
          <w:p>
            <w:r>
              <w:rPr>
                <w:sz w:val="17"/>
              </w:rPr>
              <w:t>SKU-SEL-1150</w:t>
            </w:r>
          </w:p>
        </w:tc>
        <w:tc>
          <w:tcPr>
            <w:tcW w:type="dxa" w:w="4252"/>
            <w:shd w:val="clear" w:color="auto" w:fill="EEF3FA"/>
          </w:tcPr>
          <w:p>
            <w:r>
              <w:rPr>
                <w:sz w:val="17"/>
              </w:rPr>
              <w:t>Tank-to-Bowl Gasket Kit</w:t>
            </w:r>
          </w:p>
        </w:tc>
        <w:tc>
          <w:tcPr>
            <w:tcW w:type="dxa" w:w="1701"/>
            <w:shd w:val="clear" w:color="auto" w:fill="EEF3FA"/>
          </w:tcPr>
          <w:p>
            <w:r>
              <w:rPr>
                <w:sz w:val="17"/>
              </w:rPr>
              <w:t>SEAL</w:t>
            </w:r>
          </w:p>
        </w:tc>
        <w:tc>
          <w:tcPr>
            <w:tcW w:type="dxa" w:w="1134"/>
            <w:shd w:val="clear" w:color="auto" w:fill="EEF3FA"/>
          </w:tcPr>
          <w:p>
            <w:r>
              <w:rPr>
                <w:sz w:val="17"/>
              </w:rPr>
              <w:t>EA</w:t>
            </w:r>
          </w:p>
        </w:tc>
        <w:tc>
          <w:tcPr>
            <w:tcW w:type="dxa" w:w="1304"/>
            <w:shd w:val="clear" w:color="auto" w:fill="EEF3FA"/>
          </w:tcPr>
          <w:p>
            <w:r>
              <w:rPr>
                <w:sz w:val="17"/>
              </w:rPr>
              <w:t>$6.25</w:t>
            </w:r>
          </w:p>
        </w:tc>
      </w:tr>
      <w:tr>
        <w:tc>
          <w:tcPr>
            <w:tcW w:type="dxa" w:w="1814"/>
          </w:tcPr>
          <w:p>
            <w:r>
              <w:rPr>
                <w:sz w:val="17"/>
              </w:rPr>
              <w:t>SKU-CTG-1000</w:t>
            </w:r>
          </w:p>
        </w:tc>
        <w:tc>
          <w:tcPr>
            <w:tcW w:type="dxa" w:w="4252"/>
          </w:tcPr>
          <w:p>
            <w:r>
              <w:rPr>
                <w:sz w:val="17"/>
              </w:rPr>
              <w:t>Legacy 2-Handle Faucet Cartridge (obsolete)</w:t>
            </w:r>
          </w:p>
        </w:tc>
        <w:tc>
          <w:tcPr>
            <w:tcW w:type="dxa" w:w="1701"/>
          </w:tcPr>
          <w:p>
            <w:r>
              <w:rPr>
                <w:sz w:val="17"/>
              </w:rPr>
              <w:t>CARTRIDGE</w:t>
            </w:r>
          </w:p>
        </w:tc>
        <w:tc>
          <w:tcPr>
            <w:tcW w:type="dxa" w:w="1134"/>
          </w:tcPr>
          <w:p>
            <w:r>
              <w:rPr>
                <w:sz w:val="17"/>
              </w:rPr>
              <w:t>EA</w:t>
            </w:r>
          </w:p>
        </w:tc>
        <w:tc>
          <w:tcPr>
            <w:tcW w:type="dxa" w:w="1304"/>
          </w:tcPr>
          <w:p>
            <w:r>
              <w:rPr>
                <w:sz w:val="17"/>
              </w:rPr>
              <w:t>$11.00</w:t>
            </w:r>
          </w:p>
        </w:tc>
      </w:tr>
      <w:tr>
        <w:tc>
          <w:tcPr>
            <w:tcW w:type="dxa" w:w="1814"/>
            <w:shd w:val="clear" w:color="auto" w:fill="EEF3FA"/>
          </w:tcPr>
          <w:p>
            <w:r>
              <w:rPr>
                <w:sz w:val="17"/>
              </w:rPr>
              <w:t>SKU-VLV-2000</w:t>
            </w:r>
          </w:p>
        </w:tc>
        <w:tc>
          <w:tcPr>
            <w:tcW w:type="dxa" w:w="4252"/>
            <w:shd w:val="clear" w:color="auto" w:fill="EEF3FA"/>
          </w:tcPr>
          <w:p>
            <w:r>
              <w:rPr>
                <w:sz w:val="17"/>
              </w:rPr>
              <w:t>Discontinued Thermostatic Shower Valve (inactive)</w:t>
            </w:r>
          </w:p>
        </w:tc>
        <w:tc>
          <w:tcPr>
            <w:tcW w:type="dxa" w:w="1701"/>
            <w:shd w:val="clear" w:color="auto" w:fill="EEF3FA"/>
          </w:tcPr>
          <w:p>
            <w:r>
              <w:rPr>
                <w:sz w:val="17"/>
              </w:rPr>
              <w:t>VALVE</w:t>
            </w:r>
          </w:p>
        </w:tc>
        <w:tc>
          <w:tcPr>
            <w:tcW w:type="dxa" w:w="1134"/>
            <w:shd w:val="clear" w:color="auto" w:fill="EEF3FA"/>
          </w:tcPr>
          <w:p>
            <w:r>
              <w:rPr>
                <w:sz w:val="17"/>
              </w:rPr>
              <w:t>EA</w:t>
            </w:r>
          </w:p>
        </w:tc>
        <w:tc>
          <w:tcPr>
            <w:tcW w:type="dxa" w:w="1304"/>
            <w:shd w:val="clear" w:color="auto" w:fill="EEF3FA"/>
          </w:tcPr>
          <w:p>
            <w:r>
              <w:rPr>
                <w:sz w:val="17"/>
              </w:rPr>
              <w:t>$70.00</w:t>
            </w:r>
          </w:p>
        </w:tc>
      </w:tr>
    </w:tbl>
    <w:p/>
    <w:p>
      <w:r>
        <w:rPr>
          <w:b/>
          <w:i w:val="0"/>
          <w:sz w:val="21"/>
        </w:rPr>
        <w:t>Units of measure now reflect how fixtures and fittings actually ship:</w:t>
      </w:r>
    </w:p>
    <w:p>
      <w:pPr>
        <w:pStyle w:val="ListBullet"/>
      </w:pPr>
      <w:r>
        <w:rPr>
          <w:sz w:val="21"/>
        </w:rPr>
        <w:t>EA (each) for fixtures, cartridges, valves, drains, seals and the digital system.</w:t>
      </w:r>
    </w:p>
    <w:p>
      <w:pPr>
        <w:pStyle w:val="ListBullet"/>
      </w:pPr>
      <w:r>
        <w:rPr>
          <w:sz w:val="21"/>
        </w:rPr>
        <w:t>GAL for liquid touch-up finishes; CASE / BOX / PR conversions to EA added to UOM_Conversions for cartridges, seal kits and drains.</w:t>
      </w:r>
    </w:p>
    <w:p>
      <w:pPr>
        <w:pStyle w:val="ListBullet"/>
      </w:pPr>
      <w:r>
        <w:rPr>
          <w:sz w:val="21"/>
        </w:rPr>
        <w:t>An invalid request (e.g. ordering a cartridge in KG) still has no conversion path and correctly raises INVALID_UOM.</w:t>
      </w:r>
    </w:p>
    <w:p>
      <w:pPr>
        <w:pStyle w:val="Heading1"/>
      </w:pPr>
      <w:r>
        <w:t>5. Account, Hierarchy and Ship-To Adjustments</w:t>
      </w:r>
    </w:p>
    <w:p>
      <w:r>
        <w:rPr>
          <w:b w:val="0"/>
          <w:i w:val="0"/>
          <w:sz w:val="21"/>
        </w:rPr>
        <w:t>Placeholder corporate names (Acme / Globex / Initech) were replaced with realistic kitchen &amp; bath distribution entities. Account IDs, branch codes and ship-to ZIP codes were preserved so the account-hierarchy and ship-to validation logic and all test scenarios remain intact.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74"/>
            <w:shd w:val="clear" w:color="auto" w:fill="1E3A5F"/>
          </w:tcPr>
          <w:p>
            <w:r>
              <w:rPr>
                <w:b/>
                <w:color w:val="FFFFFF"/>
                <w:sz w:val="18"/>
              </w:rPr>
              <w:t>Account ID</w:t>
            </w:r>
          </w:p>
        </w:tc>
        <w:tc>
          <w:tcPr>
            <w:tcW w:type="dxa" w:w="3969"/>
            <w:shd w:val="clear" w:color="auto" w:fill="1E3A5F"/>
          </w:tcPr>
          <w:p>
            <w:r>
              <w:rPr>
                <w:b/>
                <w:color w:val="FFFFFF"/>
                <w:sz w:val="18"/>
              </w:rPr>
              <w:t>New company name</w:t>
            </w:r>
          </w:p>
        </w:tc>
        <w:tc>
          <w:tcPr>
            <w:tcW w:type="dxa" w:w="1814"/>
            <w:shd w:val="clear" w:color="auto" w:fill="1E3A5F"/>
          </w:tcPr>
          <w:p>
            <w:r>
              <w:rPr>
                <w:b/>
                <w:color w:val="FFFFFF"/>
                <w:sz w:val="18"/>
              </w:rPr>
              <w:t>Branch</w:t>
            </w:r>
          </w:p>
        </w:tc>
        <w:tc>
          <w:tcPr>
            <w:tcW w:type="dxa" w:w="2835"/>
            <w:shd w:val="clear" w:color="auto" w:fill="1E3A5F"/>
          </w:tcPr>
          <w:p>
            <w:r>
              <w:rPr>
                <w:b/>
                <w:color w:val="FFFFFF"/>
                <w:sz w:val="18"/>
              </w:rPr>
              <w:t>Hierarchy parent</w:t>
            </w:r>
          </w:p>
        </w:tc>
      </w:tr>
      <w:tr>
        <w:tc>
          <w:tcPr>
            <w:tcW w:type="dxa" w:w="1474"/>
            <w:shd w:val="clear" w:color="auto" w:fill="EEF3FA"/>
          </w:tcPr>
          <w:p>
            <w:r>
              <w:rPr>
                <w:sz w:val="17"/>
              </w:rPr>
              <w:t>CUST-1001</w:t>
            </w:r>
          </w:p>
        </w:tc>
        <w:tc>
          <w:tcPr>
            <w:tcW w:type="dxa" w:w="3969"/>
            <w:shd w:val="clear" w:color="auto" w:fill="EEF3FA"/>
          </w:tcPr>
          <w:p>
            <w:r>
              <w:rPr>
                <w:sz w:val="17"/>
              </w:rPr>
              <w:t>Great Lakes Plumbing Supply Co</w:t>
            </w:r>
          </w:p>
        </w:tc>
        <w:tc>
          <w:tcPr>
            <w:tcW w:type="dxa" w:w="1814"/>
            <w:shd w:val="clear" w:color="auto" w:fill="EEF3FA"/>
          </w:tcPr>
          <w:p>
            <w:r>
              <w:rPr>
                <w:sz w:val="17"/>
              </w:rPr>
              <w:t>BR-GLP-MW</w:t>
            </w:r>
          </w:p>
        </w:tc>
        <w:tc>
          <w:tcPr>
            <w:tcW w:type="dxa" w:w="2835"/>
            <w:shd w:val="clear" w:color="auto" w:fill="EEF3FA"/>
          </w:tcPr>
          <w:p>
            <w:r>
              <w:rPr>
                <w:sz w:val="17"/>
              </w:rPr>
              <w:t>Continental Building Products Group</w:t>
            </w:r>
          </w:p>
        </w:tc>
      </w:tr>
      <w:tr>
        <w:tc>
          <w:tcPr>
            <w:tcW w:type="dxa" w:w="1474"/>
          </w:tcPr>
          <w:p>
            <w:r>
              <w:rPr>
                <w:sz w:val="17"/>
              </w:rPr>
              <w:t>CUST-1002</w:t>
            </w:r>
          </w:p>
        </w:tc>
        <w:tc>
          <w:tcPr>
            <w:tcW w:type="dxa" w:w="3969"/>
          </w:tcPr>
          <w:p>
            <w:r>
              <w:rPr>
                <w:sz w:val="17"/>
              </w:rPr>
              <w:t>Eastern Kitchen &amp; Bath Distributors</w:t>
            </w:r>
          </w:p>
        </w:tc>
        <w:tc>
          <w:tcPr>
            <w:tcW w:type="dxa" w:w="1814"/>
          </w:tcPr>
          <w:p>
            <w:r>
              <w:rPr>
                <w:sz w:val="17"/>
              </w:rPr>
              <w:t>BR-GLP-NE</w:t>
            </w:r>
          </w:p>
        </w:tc>
        <w:tc>
          <w:tcPr>
            <w:tcW w:type="dxa" w:w="2835"/>
          </w:tcPr>
          <w:p>
            <w:r>
              <w:rPr>
                <w:sz w:val="17"/>
              </w:rPr>
              <w:t>Continental Building Products Group</w:t>
            </w:r>
          </w:p>
        </w:tc>
      </w:tr>
      <w:tr>
        <w:tc>
          <w:tcPr>
            <w:tcW w:type="dxa" w:w="1474"/>
            <w:shd w:val="clear" w:color="auto" w:fill="EEF3FA"/>
          </w:tcPr>
          <w:p>
            <w:r>
              <w:rPr>
                <w:sz w:val="17"/>
              </w:rPr>
              <w:t>CUST-2001</w:t>
            </w:r>
          </w:p>
        </w:tc>
        <w:tc>
          <w:tcPr>
            <w:tcW w:type="dxa" w:w="3969"/>
            <w:shd w:val="clear" w:color="auto" w:fill="EEF3FA"/>
          </w:tcPr>
          <w:p>
            <w:r>
              <w:rPr>
                <w:sz w:val="17"/>
              </w:rPr>
              <w:t>Continental Canada Distribution</w:t>
            </w:r>
          </w:p>
        </w:tc>
        <w:tc>
          <w:tcPr>
            <w:tcW w:type="dxa" w:w="1814"/>
            <w:shd w:val="clear" w:color="auto" w:fill="EEF3FA"/>
          </w:tcPr>
          <w:p>
            <w:r>
              <w:rPr>
                <w:sz w:val="17"/>
              </w:rPr>
              <w:t>BR-GLP-CA</w:t>
            </w:r>
          </w:p>
        </w:tc>
        <w:tc>
          <w:tcPr>
            <w:tcW w:type="dxa" w:w="2835"/>
            <w:shd w:val="clear" w:color="auto" w:fill="EEF3FA"/>
          </w:tcPr>
          <w:p>
            <w:r>
              <w:rPr>
                <w:sz w:val="17"/>
              </w:rPr>
              <w:t>Continental Building Products Group</w:t>
            </w:r>
          </w:p>
        </w:tc>
      </w:tr>
      <w:tr>
        <w:tc>
          <w:tcPr>
            <w:tcW w:type="dxa" w:w="1474"/>
          </w:tcPr>
          <w:p>
            <w:r>
              <w:rPr>
                <w:sz w:val="17"/>
              </w:rPr>
              <w:t>CUST-5001</w:t>
            </w:r>
          </w:p>
        </w:tc>
        <w:tc>
          <w:tcPr>
            <w:tcW w:type="dxa" w:w="3969"/>
          </w:tcPr>
          <w:p>
            <w:r>
              <w:rPr>
                <w:sz w:val="17"/>
              </w:rPr>
              <w:t>Pacific Coast Bath &amp; Kitchen</w:t>
            </w:r>
          </w:p>
        </w:tc>
        <w:tc>
          <w:tcPr>
            <w:tcW w:type="dxa" w:w="1814"/>
          </w:tcPr>
          <w:p>
            <w:r>
              <w:rPr>
                <w:sz w:val="17"/>
              </w:rPr>
              <w:t>BR-PCBK-WEST</w:t>
            </w:r>
          </w:p>
        </w:tc>
        <w:tc>
          <w:tcPr>
            <w:tcW w:type="dxa" w:w="2835"/>
          </w:tcPr>
          <w:p>
            <w:r>
              <w:rPr>
                <w:sz w:val="17"/>
              </w:rPr>
              <w:t>Western Supply Holdings</w:t>
            </w:r>
          </w:p>
        </w:tc>
      </w:tr>
      <w:tr>
        <w:tc>
          <w:tcPr>
            <w:tcW w:type="dxa" w:w="1474"/>
            <w:shd w:val="clear" w:color="auto" w:fill="EEF3FA"/>
          </w:tcPr>
          <w:p>
            <w:r>
              <w:rPr>
                <w:sz w:val="17"/>
              </w:rPr>
              <w:t>CUST-7000</w:t>
            </w:r>
          </w:p>
        </w:tc>
        <w:tc>
          <w:tcPr>
            <w:tcW w:type="dxa" w:w="3969"/>
            <w:shd w:val="clear" w:color="auto" w:fill="EEF3FA"/>
          </w:tcPr>
          <w:p>
            <w:r>
              <w:rPr>
                <w:sz w:val="17"/>
              </w:rPr>
              <w:t>Midtown Building Supply (x2 — duplicate test)</w:t>
            </w:r>
          </w:p>
        </w:tc>
        <w:tc>
          <w:tcPr>
            <w:tcW w:type="dxa" w:w="1814"/>
            <w:shd w:val="clear" w:color="auto" w:fill="EEF3FA"/>
          </w:tcPr>
          <w:p>
            <w:r>
              <w:rPr>
                <w:sz w:val="17"/>
              </w:rPr>
              <w:t>BR-GLP-MW / NE</w:t>
            </w:r>
          </w:p>
        </w:tc>
        <w:tc>
          <w:tcPr>
            <w:tcW w:type="dxa" w:w="2835"/>
            <w:shd w:val="clear" w:color="auto" w:fill="EEF3FA"/>
          </w:tcPr>
          <w:p>
            <w:r>
              <w:rPr>
                <w:sz w:val="17"/>
              </w:rPr>
              <w:t>Continental Building Products Group</w:t>
            </w:r>
          </w:p>
        </w:tc>
      </w:tr>
    </w:tbl>
    <w:p/>
    <w:p>
      <w:r>
        <w:rPr>
          <w:b w:val="0"/>
          <w:i w:val="0"/>
          <w:sz w:val="21"/>
        </w:rPr>
        <w:t>Ship-to locations keep their original ZIP codes (60639, 48201, 10001, 90001, 99950, 90210) so the serviceability, hierarchy-mismatch and invalid-ship-to scenarios still resolve correctly; only the names and addresses were made realistic. Contract references were renamed from CONTRACT-ACME-* / CONTRACT-GLOBEX-* to CONTRACT-GLP-* / CONTRACT-PCBK-*.</w:t>
      </w:r>
    </w:p>
    <w:p>
      <w:pPr>
        <w:pStyle w:val="Heading1"/>
      </w:pPr>
      <w:r>
        <w:t>6. Columns and Values Confirmed Against the Reference Schema</w:t>
      </w:r>
    </w:p>
    <w:p>
      <w:r>
        <w:rPr>
          <w:b w:val="0"/>
          <w:i w:val="0"/>
          <w:sz w:val="21"/>
        </w:rPr>
        <w:t>Each domain workbook was checked against the corresponding reference table to ensure every column the validators rely on is present and populated, so the demo does not stop on a missing attribute:</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E3A5F"/>
          </w:tcPr>
          <w:p>
            <w:r>
              <w:rPr>
                <w:b/>
                <w:color w:val="FFFFFF"/>
                <w:sz w:val="18"/>
              </w:rPr>
              <w:t>Domain</w:t>
            </w:r>
          </w:p>
        </w:tc>
        <w:tc>
          <w:tcPr>
            <w:tcW w:type="dxa" w:w="7087"/>
            <w:shd w:val="clear" w:color="auto" w:fill="1E3A5F"/>
          </w:tcPr>
          <w:p>
            <w:r>
              <w:rPr>
                <w:b/>
                <w:color w:val="FFFFFF"/>
                <w:sz w:val="18"/>
              </w:rPr>
              <w:t>Reference fields confirmed / aligned</w:t>
            </w:r>
          </w:p>
        </w:tc>
      </w:tr>
      <w:tr>
        <w:tc>
          <w:tcPr>
            <w:tcW w:type="dxa" w:w="2268"/>
            <w:shd w:val="clear" w:color="auto" w:fill="EEF3FA"/>
          </w:tcPr>
          <w:p>
            <w:r>
              <w:rPr>
                <w:sz w:val="17"/>
              </w:rPr>
              <w:t>Accounts / hierarchy</w:t>
            </w:r>
          </w:p>
        </w:tc>
        <w:tc>
          <w:tcPr>
            <w:tcW w:type="dxa" w:w="7087"/>
            <w:shd w:val="clear" w:color="auto" w:fill="EEF3FA"/>
          </w:tcPr>
          <w:p>
            <w:r>
              <w:rPr>
                <w:sz w:val="17"/>
              </w:rPr>
              <w:t>account_id, parent_account_id, hierarchy_level, account_status, customer_tier</w:t>
            </w:r>
          </w:p>
        </w:tc>
      </w:tr>
      <w:tr>
        <w:tc>
          <w:tcPr>
            <w:tcW w:type="dxa" w:w="2268"/>
          </w:tcPr>
          <w:p>
            <w:r>
              <w:rPr>
                <w:sz w:val="17"/>
              </w:rPr>
              <w:t>Ship-to</w:t>
            </w:r>
          </w:p>
        </w:tc>
        <w:tc>
          <w:tcPr>
            <w:tcW w:type="dxa" w:w="7087"/>
          </w:tcPr>
          <w:p>
            <w:r>
              <w:rPr>
                <w:sz w:val="17"/>
              </w:rPr>
              <w:t>preferred_warehouse_id, split_shipment_allowed, backorder_tolerance_days, postal_code</w:t>
            </w:r>
          </w:p>
        </w:tc>
      </w:tr>
      <w:tr>
        <w:tc>
          <w:tcPr>
            <w:tcW w:type="dxa" w:w="2268"/>
            <w:shd w:val="clear" w:color="auto" w:fill="EEF3FA"/>
          </w:tcPr>
          <w:p>
            <w:r>
              <w:rPr>
                <w:sz w:val="17"/>
              </w:rPr>
              <w:t>Buyers</w:t>
            </w:r>
          </w:p>
        </w:tc>
        <w:tc>
          <w:tcPr>
            <w:tcW w:type="dxa" w:w="7087"/>
            <w:shd w:val="clear" w:color="auto" w:fill="EEF3FA"/>
          </w:tcPr>
          <w:p>
            <w:r>
              <w:rPr>
                <w:sz w:val="17"/>
              </w:rPr>
              <w:t>role, email, approval_threshold_amount, approver_id, default_cost_center_id, buyer_status</w:t>
            </w:r>
          </w:p>
        </w:tc>
      </w:tr>
      <w:tr>
        <w:tc>
          <w:tcPr>
            <w:tcW w:type="dxa" w:w="2268"/>
          </w:tcPr>
          <w:p>
            <w:r>
              <w:rPr>
                <w:sz w:val="17"/>
              </w:rPr>
              <w:t>Product</w:t>
            </w:r>
          </w:p>
        </w:tc>
        <w:tc>
          <w:tcPr>
            <w:tcW w:type="dxa" w:w="7087"/>
          </w:tcPr>
          <w:p>
            <w:r>
              <w:rPr>
                <w:sz w:val="17"/>
              </w:rPr>
              <w:t>base_uom, pack_size/pack_unit, superseded_by_sku, hazardous_flag, requires_compliance_docs</w:t>
            </w:r>
          </w:p>
        </w:tc>
      </w:tr>
      <w:tr>
        <w:tc>
          <w:tcPr>
            <w:tcW w:type="dxa" w:w="2268"/>
            <w:shd w:val="clear" w:color="auto" w:fill="EEF3FA"/>
          </w:tcPr>
          <w:p>
            <w:r>
              <w:rPr>
                <w:sz w:val="17"/>
              </w:rPr>
              <w:t>UOM</w:t>
            </w:r>
          </w:p>
        </w:tc>
        <w:tc>
          <w:tcPr>
            <w:tcW w:type="dxa" w:w="7087"/>
            <w:shd w:val="clear" w:color="auto" w:fill="EEF3FA"/>
          </w:tcPr>
          <w:p>
            <w:r>
              <w:rPr>
                <w:sz w:val="17"/>
              </w:rPr>
              <w:t>from_uom, to_uom, conversion_factor, rounding_rule, material_change_threshold_pct</w:t>
            </w:r>
          </w:p>
        </w:tc>
      </w:tr>
      <w:tr>
        <w:tc>
          <w:tcPr>
            <w:tcW w:type="dxa" w:w="2268"/>
          </w:tcPr>
          <w:p>
            <w:r>
              <w:rPr>
                <w:sz w:val="17"/>
              </w:rPr>
              <w:t>Pricing</w:t>
            </w:r>
          </w:p>
        </w:tc>
        <w:tc>
          <w:tcPr>
            <w:tcW w:type="dxa" w:w="7087"/>
          </w:tcPr>
          <w:p>
            <w:r>
              <w:rPr>
                <w:sz w:val="17"/>
              </w:rPr>
              <w:t>list_price, contract_price, margin_floor_pct, volume tiers, promotions, surcharges</w:t>
            </w:r>
          </w:p>
        </w:tc>
      </w:tr>
      <w:tr>
        <w:tc>
          <w:tcPr>
            <w:tcW w:type="dxa" w:w="2268"/>
            <w:shd w:val="clear" w:color="auto" w:fill="EEF3FA"/>
          </w:tcPr>
          <w:p>
            <w:r>
              <w:rPr>
                <w:sz w:val="17"/>
              </w:rPr>
              <w:t>Compliance</w:t>
            </w:r>
          </w:p>
        </w:tc>
        <w:tc>
          <w:tcPr>
            <w:tcW w:type="dxa" w:w="7087"/>
            <w:shd w:val="clear" w:color="auto" w:fill="EEF3FA"/>
          </w:tcPr>
          <w:p>
            <w:r>
              <w:rPr>
                <w:sz w:val="17"/>
              </w:rPr>
              <w:t>country_region, eligible_flag, approval_required_flag, required_doc_type, SDS validity</w:t>
            </w:r>
          </w:p>
        </w:tc>
      </w:tr>
      <w:tr>
        <w:tc>
          <w:tcPr>
            <w:tcW w:type="dxa" w:w="2268"/>
          </w:tcPr>
          <w:p>
            <w:r>
              <w:rPr>
                <w:sz w:val="17"/>
              </w:rPr>
              <w:t>Budget / approval</w:t>
            </w:r>
          </w:p>
        </w:tc>
        <w:tc>
          <w:tcPr>
            <w:tcW w:type="dxa" w:w="7087"/>
          </w:tcPr>
          <w:p>
            <w:r>
              <w:rPr>
                <w:sz w:val="17"/>
              </w:rPr>
              <w:t>budget_total, budget_used, approver limits, urgency, justification</w:t>
            </w:r>
          </w:p>
        </w:tc>
      </w:tr>
      <w:tr>
        <w:tc>
          <w:tcPr>
            <w:tcW w:type="dxa" w:w="2268"/>
            <w:shd w:val="clear" w:color="auto" w:fill="EEF3FA"/>
          </w:tcPr>
          <w:p>
            <w:r>
              <w:rPr>
                <w:sz w:val="17"/>
              </w:rPr>
              <w:t>Credit</w:t>
            </w:r>
          </w:p>
        </w:tc>
        <w:tc>
          <w:tcPr>
            <w:tcW w:type="dxa" w:w="7087"/>
            <w:shd w:val="clear" w:color="auto" w:fill="EEF3FA"/>
          </w:tcPr>
          <w:p>
            <w:r>
              <w:rPr>
                <w:sz w:val="17"/>
              </w:rPr>
              <w:t>credit_limit, available_credit, payment_terms, risk_category, credit_status, days_overdue</w:t>
            </w:r>
          </w:p>
        </w:tc>
      </w:tr>
      <w:tr>
        <w:tc>
          <w:tcPr>
            <w:tcW w:type="dxa" w:w="2268"/>
          </w:tcPr>
          <w:p>
            <w:r>
              <w:rPr>
                <w:sz w:val="17"/>
              </w:rPr>
              <w:t>Inventory</w:t>
            </w:r>
          </w:p>
        </w:tc>
        <w:tc>
          <w:tcPr>
            <w:tcW w:type="dxa" w:w="7087"/>
          </w:tcPr>
          <w:p>
            <w:r>
              <w:rPr>
                <w:sz w:val="17"/>
              </w:rPr>
              <w:t>quantity_available, quantity_reserved, lead_time_days, next_available_date</w:t>
            </w:r>
          </w:p>
        </w:tc>
      </w:tr>
      <w:tr>
        <w:tc>
          <w:tcPr>
            <w:tcW w:type="dxa" w:w="2268"/>
            <w:shd w:val="clear" w:color="auto" w:fill="EEF3FA"/>
          </w:tcPr>
          <w:p>
            <w:r>
              <w:rPr>
                <w:sz w:val="17"/>
              </w:rPr>
              <w:t>Logistics</w:t>
            </w:r>
          </w:p>
        </w:tc>
        <w:tc>
          <w:tcPr>
            <w:tcW w:type="dxa" w:w="7087"/>
            <w:shd w:val="clear" w:color="auto" w:fill="EEF3FA"/>
          </w:tcPr>
          <w:p>
            <w:r>
              <w:rPr>
                <w:sz w:val="17"/>
              </w:rPr>
              <w:t>postal_code_prefix, carrier_name, serviceable_flag, transit_days, freight_cost</w:t>
            </w:r>
          </w:p>
        </w:tc>
      </w:tr>
      <w:tr>
        <w:tc>
          <w:tcPr>
            <w:tcW w:type="dxa" w:w="2268"/>
          </w:tcPr>
          <w:p>
            <w:r>
              <w:rPr>
                <w:sz w:val="17"/>
              </w:rPr>
              <w:t>Exceptions</w:t>
            </w:r>
          </w:p>
        </w:tc>
        <w:tc>
          <w:tcPr>
            <w:tcW w:type="dxa" w:w="7087"/>
          </w:tcPr>
          <w:p>
            <w:r>
              <w:rPr>
                <w:sz w:val="17"/>
              </w:rPr>
              <w:t>exception_type, severity, status, assigned_role, ai_recommendation</w:t>
            </w:r>
          </w:p>
        </w:tc>
      </w:tr>
    </w:tbl>
    <w:p/>
    <w:p>
      <w:pPr>
        <w:pStyle w:val="Heading1"/>
      </w:pPr>
      <w:r>
        <w:t>7. Sample Purchase Order Adjustments</w:t>
      </w:r>
    </w:p>
    <w:p>
      <w:pPr>
        <w:pStyle w:val="ListBullet"/>
      </w:pPr>
      <w:r>
        <w:rPr>
          <w:sz w:val="21"/>
        </w:rPr>
        <w:t>All 30+ sample PO files (text and Excel) were regenerated with the new products, companies, ship-to names and realistic PO numbers (e.g. PO-2026-100xx).</w:t>
      </w:r>
    </w:p>
    <w:p>
      <w:pPr>
        <w:pStyle w:val="ListBullet"/>
      </w:pPr>
      <w:r>
        <w:rPr>
          <w:sz w:val="21"/>
        </w:rPr>
        <w:t>Embedded test annotations such as “Scenario:” and “Expected result:” were removed so each file reads like a genuine purchase order.</w:t>
      </w:r>
    </w:p>
    <w:p>
      <w:pPr>
        <w:pStyle w:val="ListBullet"/>
      </w:pPr>
      <w:r>
        <w:rPr>
          <w:sz w:val="21"/>
        </w:rPr>
        <w:t>Words like “sample” and “demo” were removed from the PO content (titles, PO numbers, instructions).</w:t>
      </w:r>
    </w:p>
    <w:p>
      <w:pPr>
        <w:pStyle w:val="ListBullet"/>
      </w:pPr>
      <w:r>
        <w:rPr>
          <w:sz w:val="21"/>
        </w:rPr>
        <w:t>Each exception scenario still triggers exactly the intended exception (unauthorized buyer, restricted product, invalid UOM, obsolete SKU, compliance restriction, missing SDS, pricing breach, budget, approval, credit hold, inventory shortage, split-not-allowed, minimum order quantity, ZIP not serviceable, execution failure).</w:t>
      </w:r>
    </w:p>
    <w:p>
      <w:pPr>
        <w:pStyle w:val="Heading1"/>
      </w:pPr>
      <w:r>
        <w:t>8. One Supporting Engine Adjustment</w:t>
      </w:r>
    </w:p>
    <w:p>
      <w:r>
        <w:rPr>
          <w:b w:val="0"/>
          <w:i w:val="0"/>
          <w:sz w:val="21"/>
        </w:rPr>
        <w:t>Because real PO numbers now contain five-digit sequences (e.g. PO-2026-10012), the data-extraction logic was hardened so that an explicitly labelled “Ship-To ZIP” value is always preferred over any incidental five-digit run in the document. This prevents a PO number from ever being mistaken for a ZIP code. No other validator logic was changed.</w:t>
      </w:r>
    </w:p>
    <w:p>
      <w:pPr>
        <w:pStyle w:val="Heading1"/>
      </w:pPr>
      <w:r>
        <w:t>9. Verification — Full Regression</w:t>
      </w:r>
    </w:p>
    <w:p>
      <w:r>
        <w:rPr>
          <w:b w:val="0"/>
          <w:i w:val="0"/>
          <w:sz w:val="21"/>
        </w:rPr>
        <w:t>After the data was corrected, the end-to-end regression harness (test_pipeline.py) was run across every scenario. Result: 27 / 27 cases pass — all happy paths flow cleanly through the full 12-stage pipeline, and every exception scenario raises the correct exception at the correct stage.</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E3A5F"/>
          </w:tcPr>
          <w:p>
            <w:r>
              <w:rPr>
                <w:b/>
                <w:color w:val="FFFFFF"/>
                <w:sz w:val="18"/>
              </w:rPr>
              <w:t>Category</w:t>
            </w:r>
          </w:p>
        </w:tc>
        <w:tc>
          <w:tcPr>
            <w:tcW w:type="dxa" w:w="5102"/>
            <w:shd w:val="clear" w:color="auto" w:fill="1E3A5F"/>
          </w:tcPr>
          <w:p>
            <w:r>
              <w:rPr>
                <w:b/>
                <w:color w:val="FFFFFF"/>
                <w:sz w:val="18"/>
              </w:rPr>
              <w:t>Scenarios</w:t>
            </w:r>
          </w:p>
        </w:tc>
        <w:tc>
          <w:tcPr>
            <w:tcW w:type="dxa" w:w="1417"/>
            <w:shd w:val="clear" w:color="auto" w:fill="1E3A5F"/>
          </w:tcPr>
          <w:p>
            <w:r>
              <w:rPr>
                <w:b/>
                <w:color w:val="FFFFFF"/>
                <w:sz w:val="18"/>
              </w:rPr>
              <w:t>Outcome</w:t>
            </w:r>
          </w:p>
        </w:tc>
      </w:tr>
      <w:tr>
        <w:tc>
          <w:tcPr>
            <w:tcW w:type="dxa" w:w="2835"/>
            <w:shd w:val="clear" w:color="auto" w:fill="EEF3FA"/>
          </w:tcPr>
          <w:p>
            <w:r>
              <w:rPr>
                <w:sz w:val="17"/>
              </w:rPr>
              <w:t>Happy path / autonomous</w:t>
            </w:r>
          </w:p>
        </w:tc>
        <w:tc>
          <w:tcPr>
            <w:tcW w:type="dxa" w:w="5102"/>
            <w:shd w:val="clear" w:color="auto" w:fill="EEF3FA"/>
          </w:tcPr>
          <w:p>
            <w:r>
              <w:rPr>
                <w:sz w:val="17"/>
              </w:rPr>
              <w:t>US-01 (text, Excel, comprehensive x2), US-03, US-06, US-09 restricted-warehouse, US-11, US-12</w:t>
            </w:r>
          </w:p>
        </w:tc>
        <w:tc>
          <w:tcPr>
            <w:tcW w:type="dxa" w:w="1417"/>
            <w:shd w:val="clear" w:color="auto" w:fill="EEF3FA"/>
          </w:tcPr>
          <w:p>
            <w:r>
              <w:rPr>
                <w:sz w:val="17"/>
              </w:rPr>
              <w:t>Clean pass</w:t>
            </w:r>
          </w:p>
        </w:tc>
      </w:tr>
      <w:tr>
        <w:tc>
          <w:tcPr>
            <w:tcW w:type="dxa" w:w="2835"/>
          </w:tcPr>
          <w:p>
            <w:r>
              <w:rPr>
                <w:sz w:val="17"/>
              </w:rPr>
              <w:t>Intake / account (US-01/02)</w:t>
            </w:r>
          </w:p>
        </w:tc>
        <w:tc>
          <w:tcPr>
            <w:tcW w:type="dxa" w:w="5102"/>
          </w:tcPr>
          <w:p>
            <w:r>
              <w:rPr>
                <w:sz w:val="17"/>
              </w:rPr>
              <w:t>missing fields, duplicate PO, unmatched / duplicate customer, invalid ship-to, hierarchy mismatch</w:t>
            </w:r>
          </w:p>
        </w:tc>
        <w:tc>
          <w:tcPr>
            <w:tcW w:type="dxa" w:w="1417"/>
          </w:tcPr>
          <w:p>
            <w:r>
              <w:rPr>
                <w:sz w:val="17"/>
              </w:rPr>
              <w:t>Correct exception</w:t>
            </w:r>
          </w:p>
        </w:tc>
      </w:tr>
      <w:tr>
        <w:tc>
          <w:tcPr>
            <w:tcW w:type="dxa" w:w="2835"/>
            <w:shd w:val="clear" w:color="auto" w:fill="EEF3FA"/>
          </w:tcPr>
          <w:p>
            <w:r>
              <w:rPr>
                <w:sz w:val="17"/>
              </w:rPr>
              <w:t>Authorization / product (US-03/04)</w:t>
            </w:r>
          </w:p>
        </w:tc>
        <w:tc>
          <w:tcPr>
            <w:tcW w:type="dxa" w:w="5102"/>
            <w:shd w:val="clear" w:color="auto" w:fill="EEF3FA"/>
          </w:tcPr>
          <w:p>
            <w:r>
              <w:rPr>
                <w:sz w:val="17"/>
              </w:rPr>
              <w:t>unauthorized buyer, restricted product, invalid cost center, obsolete SKU, invalid UOM, unknown SKU</w:t>
            </w:r>
          </w:p>
        </w:tc>
        <w:tc>
          <w:tcPr>
            <w:tcW w:type="dxa" w:w="1417"/>
            <w:shd w:val="clear" w:color="auto" w:fill="EEF3FA"/>
          </w:tcPr>
          <w:p>
            <w:r>
              <w:rPr>
                <w:sz w:val="17"/>
              </w:rPr>
              <w:t>Correct exception</w:t>
            </w:r>
          </w:p>
        </w:tc>
      </w:tr>
      <w:tr>
        <w:tc>
          <w:tcPr>
            <w:tcW w:type="dxa" w:w="2835"/>
          </w:tcPr>
          <w:p>
            <w:r>
              <w:rPr>
                <w:sz w:val="17"/>
              </w:rPr>
              <w:t>Compliance / pricing (US-05/06)</w:t>
            </w:r>
          </w:p>
        </w:tc>
        <w:tc>
          <w:tcPr>
            <w:tcW w:type="dxa" w:w="5102"/>
          </w:tcPr>
          <w:p>
            <w:r>
              <w:rPr>
                <w:sz w:val="17"/>
              </w:rPr>
              <w:t>restricted region, missing SDS, pricing breach</w:t>
            </w:r>
          </w:p>
        </w:tc>
        <w:tc>
          <w:tcPr>
            <w:tcW w:type="dxa" w:w="1417"/>
          </w:tcPr>
          <w:p>
            <w:r>
              <w:rPr>
                <w:sz w:val="17"/>
              </w:rPr>
              <w:t>Correct exception</w:t>
            </w:r>
          </w:p>
        </w:tc>
      </w:tr>
      <w:tr>
        <w:tc>
          <w:tcPr>
            <w:tcW w:type="dxa" w:w="2835"/>
            <w:shd w:val="clear" w:color="auto" w:fill="EEF3FA"/>
          </w:tcPr>
          <w:p>
            <w:r>
              <w:rPr>
                <w:sz w:val="17"/>
              </w:rPr>
              <w:t>Budget / credit (US-07/08)</w:t>
            </w:r>
          </w:p>
        </w:tc>
        <w:tc>
          <w:tcPr>
            <w:tcW w:type="dxa" w:w="5102"/>
            <w:shd w:val="clear" w:color="auto" w:fill="EEF3FA"/>
          </w:tcPr>
          <w:p>
            <w:r>
              <w:rPr>
                <w:sz w:val="17"/>
              </w:rPr>
              <w:t>budget exceeded, approval required, credit hold</w:t>
            </w:r>
          </w:p>
        </w:tc>
        <w:tc>
          <w:tcPr>
            <w:tcW w:type="dxa" w:w="1417"/>
            <w:shd w:val="clear" w:color="auto" w:fill="EEF3FA"/>
          </w:tcPr>
          <w:p>
            <w:r>
              <w:rPr>
                <w:sz w:val="17"/>
              </w:rPr>
              <w:t>Correct exception</w:t>
            </w:r>
          </w:p>
        </w:tc>
      </w:tr>
      <w:tr>
        <w:tc>
          <w:tcPr>
            <w:tcW w:type="dxa" w:w="2835"/>
          </w:tcPr>
          <w:p>
            <w:r>
              <w:rPr>
                <w:sz w:val="17"/>
              </w:rPr>
              <w:t>Inventory / logistics (US-09/10)</w:t>
            </w:r>
          </w:p>
        </w:tc>
        <w:tc>
          <w:tcPr>
            <w:tcW w:type="dxa" w:w="5102"/>
          </w:tcPr>
          <w:p>
            <w:r>
              <w:rPr>
                <w:sz w:val="17"/>
              </w:rPr>
              <w:t>inventory shortage, split-not-allowed, minimum order qty, ZIP not serviceable</w:t>
            </w:r>
          </w:p>
        </w:tc>
        <w:tc>
          <w:tcPr>
            <w:tcW w:type="dxa" w:w="1417"/>
          </w:tcPr>
          <w:p>
            <w:r>
              <w:rPr>
                <w:sz w:val="17"/>
              </w:rPr>
              <w:t>Correct exception</w:t>
            </w:r>
          </w:p>
        </w:tc>
      </w:tr>
      <w:tr>
        <w:tc>
          <w:tcPr>
            <w:tcW w:type="dxa" w:w="2835"/>
            <w:shd w:val="clear" w:color="auto" w:fill="EEF3FA"/>
          </w:tcPr>
          <w:p>
            <w:r>
              <w:rPr>
                <w:sz w:val="17"/>
              </w:rPr>
              <w:t>Execution (US-12)</w:t>
            </w:r>
          </w:p>
        </w:tc>
        <w:tc>
          <w:tcPr>
            <w:tcW w:type="dxa" w:w="5102"/>
            <w:shd w:val="clear" w:color="auto" w:fill="EEF3FA"/>
          </w:tcPr>
          <w:p>
            <w:r>
              <w:rPr>
                <w:sz w:val="17"/>
              </w:rPr>
              <w:t>execution failure (mock WMS outage)</w:t>
            </w:r>
          </w:p>
        </w:tc>
        <w:tc>
          <w:tcPr>
            <w:tcW w:type="dxa" w:w="1417"/>
            <w:shd w:val="clear" w:color="auto" w:fill="EEF3FA"/>
          </w:tcPr>
          <w:p>
            <w:r>
              <w:rPr>
                <w:sz w:val="17"/>
              </w:rPr>
              <w:t>Correct exception</w:t>
            </w:r>
          </w:p>
        </w:tc>
      </w:tr>
    </w:tbl>
    <w:p/>
    <w:p>
      <w:r>
        <w:rPr>
          <w:b w:val="0"/>
          <w:i/>
          <w:color w:val="5A5A5A"/>
          <w:sz w:val="19"/>
        </w:rPr>
        <w:t>Note: the reference workbook also defines several reporting / audit tables (price_waterfall_lines, agent_audit_log, downstream_execution_events, orders, order_lines, approval_requests). In the POC these are produced at runtime by the orchestration engine rather than pre-loaded as master data, which is why they do not appear as static workbooks.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