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Running head: MISINFORMATION VULNERABILITY SIMULATION BENCHMARK</w:t>
      </w:r>
    </w:p>
    <w:p>
      <w:pPr>
        <w:spacing w:before="720"/>
        <w:jc w:val="center"/>
      </w:pPr>
      <w:r>
        <w:rPr>
          <w:rFonts w:ascii="Times New Roman" w:hAnsi="Times New Roman"/>
          <w:b/>
          <w:sz w:val="24"/>
        </w:rPr>
        <w:t>A Blind-Analysis Simulation Benchmark for Multidimensional Measurement of Misinformation Vulnerability</w:t>
      </w:r>
    </w:p>
    <w:p>
      <w:pPr>
        <w:jc w:val="center"/>
      </w:pPr>
      <w:r>
        <w:rPr>
          <w:rFonts w:ascii="Times New Roman" w:hAnsi="Times New Roman"/>
          <w:sz w:val="24"/>
        </w:rPr>
        <w:t>[Author Name]</w:t>
      </w:r>
    </w:p>
    <w:p>
      <w:pPr>
        <w:jc w:val="center"/>
      </w:pPr>
      <w:r>
        <w:rPr>
          <w:rFonts w:ascii="Times New Roman" w:hAnsi="Times New Roman"/>
          <w:sz w:val="24"/>
        </w:rPr>
        <w:t>[Affiliation]</w:t>
      </w:r>
    </w:p>
    <w:p>
      <w:pPr>
        <w:spacing w:before="240"/>
        <w:jc w:val="center"/>
      </w:pPr>
      <w:r>
        <w:rPr>
          <w:rFonts w:ascii="Times New Roman" w:hAnsi="Times New Roman"/>
          <w:b/>
          <w:sz w:val="24"/>
        </w:rPr>
        <w:t>Author Note</w:t>
      </w:r>
    </w:p>
    <w:p>
      <w:pPr>
        <w:ind w:firstLine="720"/>
      </w:pPr>
      <w:r>
        <w:rPr>
          <w:rFonts w:ascii="Times New Roman" w:hAnsi="Times New Roman"/>
          <w:sz w:val="24"/>
        </w:rPr>
        <w:t>This manuscript reports Study 0 of the Misinformation Psychometrics research program: a fully synthetic, blind-analysis simulation benchmark. No human participants, human data, or identifiable information were involved, and no IRB/ethics review was required for this study. All simulated data, analysis code, and results are available in the project repository (`simulation/`, `data/simulated/`, `studies/study_00_simulation/`).</w:t>
      </w:r>
    </w:p>
    <w:p>
      <w:pPr>
        <w:ind w:firstLine="720"/>
      </w:pPr>
      <w:r>
        <w:rPr>
          <w:rFonts w:ascii="Times New Roman" w:hAnsi="Times New Roman"/>
          <w:sz w:val="24"/>
        </w:rPr>
        <w:t xml:space="preserve">Several in-text citations below are drawn from the author's general knowledge of the literature and have not yet been verified against a live database (no literature-search access was available while drafting this manuscript). Each such citation is marked </w:t>
      </w:r>
      <w:r>
        <w:rPr>
          <w:rFonts w:ascii="Times New Roman" w:hAnsi="Times New Roman"/>
          <w:b/>
          <w:sz w:val="24"/>
        </w:rPr>
        <w:t>[VERIFY]</w:t>
      </w:r>
      <w:r>
        <w:rPr>
          <w:rFonts w:ascii="Times New Roman" w:hAnsi="Times New Roman"/>
          <w:sz w:val="24"/>
        </w:rPr>
        <w:t xml:space="preserve"> in the reference list and must be confirmed against the original source before this manuscript is submitted, published, or otherwise relied upon externally.</w:t>
      </w:r>
    </w:p>
    <w:p>
      <w:pPr>
        <w:ind w:firstLine="720"/>
      </w:pPr>
      <w:r>
        <w:rPr>
          <w:rFonts w:ascii="Times New Roman" w:hAnsi="Times New Roman"/>
          <w:sz w:val="24"/>
        </w:rPr>
        <w:t>Correspondence concerning this article should be addressed to [Author Name], [Email].</w:t>
      </w:r>
    </w:p>
    <w:p>
      <w:r>
        <w:br w:type="page"/>
      </w:r>
    </w:p>
    <w:p>
      <w:pPr>
        <w:spacing w:before="240"/>
        <w:jc w:val="center"/>
      </w:pPr>
      <w:r>
        <w:rPr>
          <w:rFonts w:ascii="Times New Roman" w:hAnsi="Times New Roman"/>
          <w:b/>
          <w:sz w:val="24"/>
        </w:rPr>
        <w:t>Abstract</w:t>
      </w:r>
    </w:p>
    <w:p>
      <w:pPr>
        <w:ind w:firstLine="720"/>
      </w:pPr>
      <w:r>
        <w:rPr>
          <w:rFonts w:ascii="Times New Roman" w:hAnsi="Times New Roman"/>
          <w:sz w:val="24"/>
        </w:rPr>
        <w:t>Misinformation vulnerability is frequently operationalized as a single accuracy score, a framing that conflates several plausibly separable cognitive processes. We propose a seven-dimension construct (discernment, response bias, confidence calibration, evidence evaluation, belief updating, verification competence, and sharing restraint) and use a fully synthetic, blind-analysis simulation to stress-test whether this architecture is internally coherent before collecting human data. A data-generating model produced responses for 1,000 simulated participants across 40 veracity items, 10 belief-updating items, and 10 verification items. Item-level models, fit without access to the generating parameters, recovered discernment (</w:t>
      </w:r>
      <w:r>
        <w:rPr>
          <w:rFonts w:ascii="Times New Roman" w:hAnsi="Times New Roman"/>
          <w:i/>
          <w:sz w:val="24"/>
        </w:rPr>
        <w:t>r</w:t>
      </w:r>
      <w:r>
        <w:rPr>
          <w:rFonts w:ascii="Times New Roman" w:hAnsi="Times New Roman"/>
          <w:sz w:val="24"/>
        </w:rPr>
        <w:t xml:space="preserve"> = .927), verification ability (</w:t>
      </w:r>
      <w:r>
        <w:rPr>
          <w:rFonts w:ascii="Times New Roman" w:hAnsi="Times New Roman"/>
          <w:i/>
          <w:sz w:val="24"/>
        </w:rPr>
        <w:t>r</w:t>
      </w:r>
      <w:r>
        <w:rPr>
          <w:rFonts w:ascii="Times New Roman" w:hAnsi="Times New Roman"/>
          <w:sz w:val="24"/>
        </w:rPr>
        <w:t xml:space="preserve"> = .816), and, after a design revision described below, evidence-evaluation ability (</w:t>
      </w:r>
      <w:r>
        <w:rPr>
          <w:rFonts w:ascii="Times New Roman" w:hAnsi="Times New Roman"/>
          <w:i/>
          <w:sz w:val="24"/>
        </w:rPr>
        <w:t>r</w:t>
      </w:r>
      <w:r>
        <w:rPr>
          <w:rFonts w:ascii="Times New Roman" w:hAnsi="Times New Roman"/>
          <w:sz w:val="24"/>
        </w:rPr>
        <w:t xml:space="preserve"> = .707); belief-updating recovery was more modest (</w:t>
      </w:r>
      <w:r>
        <w:rPr>
          <w:rFonts w:ascii="Times New Roman" w:hAnsi="Times New Roman"/>
          <w:i/>
          <w:sz w:val="24"/>
        </w:rPr>
        <w:t>r</w:t>
      </w:r>
      <w:r>
        <w:rPr>
          <w:rFonts w:ascii="Times New Roman" w:hAnsi="Times New Roman"/>
          <w:sz w:val="24"/>
        </w:rPr>
        <w:t xml:space="preserve"> = .383). An initial version of the evidence-evaluation model relied on a hidden process variable folded into a belief-movement score and recovered poorly and unstably (</w:t>
      </w:r>
      <w:r>
        <w:rPr>
          <w:rFonts w:ascii="Times New Roman" w:hAnsi="Times New Roman"/>
          <w:i/>
          <w:sz w:val="24"/>
        </w:rPr>
        <w:t>r</w:t>
      </w:r>
      <w:r>
        <w:rPr>
          <w:rFonts w:ascii="Times New Roman" w:hAnsi="Times New Roman"/>
          <w:sz w:val="24"/>
        </w:rPr>
        <w:t xml:space="preserve"> = .133, frequently sign-reversed across a 13-condition Monte Carlo robustness sweep). Making evidence comprehension a directly observable, IRT-estimable response resolved this, yielding stable recovery (</w:t>
      </w:r>
      <w:r>
        <w:rPr>
          <w:rFonts w:ascii="Times New Roman" w:hAnsi="Times New Roman"/>
          <w:i/>
          <w:sz w:val="24"/>
        </w:rPr>
        <w:t>r</w:t>
      </w:r>
      <w:r>
        <w:rPr>
          <w:rFonts w:ascii="Times New Roman" w:hAnsi="Times New Roman"/>
          <w:sz w:val="24"/>
        </w:rPr>
        <w:t xml:space="preserve"> = .68–.75) across every robustness condition tested. We discuss implications for instrument development and outline a roadmap toward human item piloting.</w:t>
      </w:r>
    </w:p>
    <w:p>
      <w:pPr>
        <w:ind w:firstLine="720"/>
      </w:pPr>
      <w:r>
        <w:rPr>
          <w:rFonts w:ascii="Times New Roman" w:hAnsi="Times New Roman"/>
          <w:i/>
          <w:sz w:val="24"/>
        </w:rPr>
        <w:t>Keywords:</w:t>
      </w:r>
      <w:r>
        <w:rPr>
          <w:rFonts w:ascii="Times New Roman" w:hAnsi="Times New Roman"/>
          <w:sz w:val="24"/>
        </w:rPr>
        <w:t xml:space="preserve"> misinformation, psychometrics, simulation, Monte Carlo, item response theory, construct validity</w:t>
      </w:r>
    </w:p>
    <w:p>
      <w:r>
        <w:br w:type="page"/>
      </w:r>
    </w:p>
    <w:p>
      <w:pPr>
        <w:spacing w:before="240"/>
        <w:jc w:val="center"/>
      </w:pPr>
      <w:r>
        <w:rPr>
          <w:rFonts w:ascii="Times New Roman" w:hAnsi="Times New Roman"/>
          <w:b/>
          <w:sz w:val="24"/>
        </w:rPr>
        <w:t>Introduction</w:t>
      </w:r>
    </w:p>
    <w:p>
      <w:pPr>
        <w:spacing w:before="240"/>
      </w:pPr>
      <w:r>
        <w:rPr>
          <w:rFonts w:ascii="Times New Roman" w:hAnsi="Times New Roman"/>
          <w:b/>
          <w:sz w:val="24"/>
        </w:rPr>
        <w:t>The Problem with Single-Score Misinformation Measures</w:t>
      </w:r>
    </w:p>
    <w:p>
      <w:pPr>
        <w:ind w:firstLine="720"/>
      </w:pPr>
      <w:r>
        <w:rPr>
          <w:rFonts w:ascii="Times New Roman" w:hAnsi="Times New Roman"/>
          <w:sz w:val="24"/>
        </w:rPr>
        <w:t>Research on susceptibility to misinformation commonly reduces performance to a single accuracy or discernment score across true and false claims. This is a defensible starting point, but it risks conflating processes that may be theoretically and practically distinct: a person's ability to discriminate true from false claims is not the same quantity as their general tendency to endorse claims as true, their confidence calibration, their capacity to interpret corrective evidence, their tendency to revise judgments after such evidence, their skill at active verification, or their restraint in sharing unverified content (see `docs/construct_definition.md` in the accompanying repository for the full construct definition used in this program).</w:t>
      </w:r>
    </w:p>
    <w:p>
      <w:pPr>
        <w:ind w:firstLine="720"/>
      </w:pPr>
      <w:r>
        <w:rPr>
          <w:rFonts w:ascii="Times New Roman" w:hAnsi="Times New Roman"/>
          <w:sz w:val="24"/>
        </w:rPr>
        <w:t xml:space="preserve">A signal-detection reframing of "fake news detection" as a joint function of sensitivity and criterion has previously been proposed as a way to separate discernment from response bias </w:t>
      </w:r>
      <w:r>
        <w:rPr>
          <w:rFonts w:ascii="Times New Roman" w:hAnsi="Times New Roman"/>
          <w:b/>
          <w:sz w:val="24"/>
        </w:rPr>
        <w:t>[VERIFY: Batailler, Brannon, Teas, &amp; Gawronski, 2022]</w:t>
      </w:r>
      <w:r>
        <w:rPr>
          <w:rFonts w:ascii="Times New Roman" w:hAnsi="Times New Roman"/>
          <w:sz w:val="24"/>
        </w:rPr>
        <w:t xml:space="preserve">, and is one of the few points in this literature where the conventional accuracy score has already been formally decomposed. Analytic-thinking measures such as the Cognitive Reflection Test have been linked to fake-news discernment </w:t>
      </w:r>
      <w:r>
        <w:rPr>
          <w:rFonts w:ascii="Times New Roman" w:hAnsi="Times New Roman"/>
          <w:b/>
          <w:sz w:val="24"/>
        </w:rPr>
        <w:t>[VERIFY: Frederick, 2005; Pennycook &amp; Rand, 2019]</w:t>
      </w:r>
      <w:r>
        <w:rPr>
          <w:rFonts w:ascii="Times New Roman" w:hAnsi="Times New Roman"/>
          <w:sz w:val="24"/>
        </w:rPr>
        <w:t xml:space="preserve">, and an inattention-based account of low-quality sharing behavior has been proposed as an alternative to motivated-reasoning accounts </w:t>
      </w:r>
      <w:r>
        <w:rPr>
          <w:rFonts w:ascii="Times New Roman" w:hAnsi="Times New Roman"/>
          <w:b/>
          <w:sz w:val="24"/>
        </w:rPr>
        <w:t>[VERIFY: Pennycook &amp; Rand, 2019]</w:t>
      </w:r>
      <w:r>
        <w:rPr>
          <w:rFonts w:ascii="Times New Roman" w:hAnsi="Times New Roman"/>
          <w:sz w:val="24"/>
        </w:rPr>
        <w:t xml:space="preserve">. Belief-revision failures following correction have been studied under the label of the continued influence effect </w:t>
      </w:r>
      <w:r>
        <w:rPr>
          <w:rFonts w:ascii="Times New Roman" w:hAnsi="Times New Roman"/>
          <w:b/>
          <w:sz w:val="24"/>
        </w:rPr>
        <w:t>[VERIFY: Johnson &amp; Seifert, 1994; Lewandowsky, Ecker, Seifert, Schwarz, &amp; Cook, 2012]</w:t>
      </w:r>
      <w:r>
        <w:rPr>
          <w:rFonts w:ascii="Times New Roman" w:hAnsi="Times New Roman"/>
          <w:sz w:val="24"/>
        </w:rPr>
        <w:t xml:space="preserve">, and claims about a reliable "backfire effect" in which corrections increase belief in misinformation have more recently been challenged </w:t>
      </w:r>
      <w:r>
        <w:rPr>
          <w:rFonts w:ascii="Times New Roman" w:hAnsi="Times New Roman"/>
          <w:b/>
          <w:sz w:val="24"/>
        </w:rPr>
        <w:t>[VERIFY: Wood &amp; Porter, 2019]</w:t>
      </w:r>
      <w:r>
        <w:rPr>
          <w:rFonts w:ascii="Times New Roman" w:hAnsi="Times New Roman"/>
          <w:sz w:val="24"/>
        </w:rPr>
        <w:t xml:space="preserve">. Verification skill has been studied through the lens of lateral reading, contrasting how novices and fact-checkers evaluate unfamiliar online sources </w:t>
      </w:r>
      <w:r>
        <w:rPr>
          <w:rFonts w:ascii="Times New Roman" w:hAnsi="Times New Roman"/>
          <w:b/>
          <w:sz w:val="24"/>
        </w:rPr>
        <w:t>[VERIFY: Wineburg &amp; McGrew, 2019]</w:t>
      </w:r>
      <w:r>
        <w:rPr>
          <w:rFonts w:ascii="Times New Roman" w:hAnsi="Times New Roman"/>
          <w:sz w:val="24"/>
        </w:rPr>
        <w:t xml:space="preserve">. A validated multidimensional composite instrument, the Misinformation Susceptibility Test, has recently been proposed as a convergent-validity anchor for this space </w:t>
      </w:r>
      <w:r>
        <w:rPr>
          <w:rFonts w:ascii="Times New Roman" w:hAnsi="Times New Roman"/>
          <w:b/>
          <w:sz w:val="24"/>
        </w:rPr>
        <w:t>[VERIFY: Maertens et al., 2024]</w:t>
      </w:r>
      <w:r>
        <w:rPr>
          <w:rFonts w:ascii="Times New Roman" w:hAnsi="Times New Roman"/>
          <w:sz w:val="24"/>
        </w:rPr>
        <w:t>. Each of these traditions targets one or two of the seven proposed dimensions; to our knowledge, no existing published instrument attempts to measure all seven simultaneously with an explicit blind recovery test of whether they are separable at all.</w:t>
      </w:r>
    </w:p>
    <w:p>
      <w:pPr>
        <w:spacing w:before="240"/>
      </w:pPr>
      <w:r>
        <w:rPr>
          <w:rFonts w:ascii="Times New Roman" w:hAnsi="Times New Roman"/>
          <w:b/>
          <w:sz w:val="24"/>
        </w:rPr>
        <w:t>The Present Study</w:t>
      </w:r>
    </w:p>
    <w:p>
      <w:pPr>
        <w:ind w:firstLine="720"/>
      </w:pPr>
      <w:r>
        <w:rPr>
          <w:rFonts w:ascii="Times New Roman" w:hAnsi="Times New Roman"/>
          <w:sz w:val="24"/>
        </w:rPr>
        <w:t xml:space="preserve">Before collecting human data, we used a synthetic benchmark to ask a narrower, prior question: if a data-generating process were constructed to instantiate all seven dimensions as at least partially independent latent traits, could conventional psychometric methods recover them from observed task responses alone, without ever consulting the generating parameters during model development? We refer to this as Study 0, and to the underlying logic as a </w:t>
      </w:r>
      <w:r>
        <w:rPr>
          <w:rFonts w:ascii="Times New Roman" w:hAnsi="Times New Roman"/>
          <w:i/>
          <w:sz w:val="24"/>
        </w:rPr>
        <w:t>blind-analysis</w:t>
      </w:r>
      <w:r>
        <w:rPr>
          <w:rFonts w:ascii="Times New Roman" w:hAnsi="Times New Roman"/>
          <w:sz w:val="24"/>
        </w:rPr>
        <w:t xml:space="preserve"> workflow: item-level models are fit exclusively from observed responses, and the hidden generating traits are loaded only afterward, for a one-time post-estimation comparison.</w:t>
      </w:r>
    </w:p>
    <w:p>
      <w:pPr>
        <w:ind w:firstLine="720"/>
      </w:pPr>
      <w:r>
        <w:rPr>
          <w:rFonts w:ascii="Times New Roman" w:hAnsi="Times New Roman"/>
          <w:sz w:val="24"/>
        </w:rPr>
        <w:t>Study 0 has three parts. Study 0A computes observed-only descriptive summary scores. Study 0B fits explicit item-level statistical models (rather than relying on summary scores) to estimate person parameters for discernment, response bias, verification ability, evidence-evaluation ability, and belief updating. Study 0C repeats the Study 0B models on newly simulated datasets that each vary one data-generating condition (sample size, item count, item difficulty spread, response noise, carelessness rate, or latent correlation strength) away from a baseline, to test whether recovery is an artifact of one convenient parameter setting.</w:t>
      </w:r>
    </w:p>
    <w:p>
      <w:pPr>
        <w:ind w:firstLine="720"/>
      </w:pPr>
      <w:r>
        <w:rPr>
          <w:rFonts w:ascii="Times New Roman" w:hAnsi="Times New Roman"/>
          <w:sz w:val="24"/>
        </w:rPr>
        <w:t xml:space="preserve">We report two versions of the evidence-evaluation model. The first version (V1) inferred evidence-evaluation ability only indirectly, as a random slope in a model of belief movement. Because this recovered evidence-evaluation poorly and unstably, we redesigned the measurement (V1.2) so that evidence comprehension is a directly observable, binary comprehension-check response, modeled the same way as the verification task. We report both versions here because the contrast is itself a methodological finding: a synthetic benchmark can reveal that a construct is unrecoverable </w:t>
      </w:r>
      <w:r>
        <w:rPr>
          <w:rFonts w:ascii="Times New Roman" w:hAnsi="Times New Roman"/>
          <w:i/>
          <w:sz w:val="24"/>
        </w:rPr>
        <w:t>because of a fixable measurement-design flaw</w:t>
      </w:r>
      <w:r>
        <w:rPr>
          <w:rFonts w:ascii="Times New Roman" w:hAnsi="Times New Roman"/>
          <w:sz w:val="24"/>
        </w:rPr>
        <w:t>, not because the construct is inherently inseparable from its neighbors — and that this can be diagnosed and repaired before, rather than after, expensive human data collection.</w:t>
      </w:r>
    </w:p>
    <w:p>
      <w:pPr>
        <w:spacing w:before="240"/>
        <w:jc w:val="center"/>
      </w:pPr>
      <w:r>
        <w:rPr>
          <w:rFonts w:ascii="Times New Roman" w:hAnsi="Times New Roman"/>
          <w:b/>
          <w:sz w:val="24"/>
        </w:rPr>
        <w:t>Method</w:t>
      </w:r>
    </w:p>
    <w:p>
      <w:pPr>
        <w:spacing w:before="240"/>
      </w:pPr>
      <w:r>
        <w:rPr>
          <w:rFonts w:ascii="Times New Roman" w:hAnsi="Times New Roman"/>
          <w:b/>
          <w:sz w:val="24"/>
        </w:rPr>
        <w:t>Design Overview</w:t>
      </w:r>
    </w:p>
    <w:p>
      <w:pPr>
        <w:ind w:firstLine="720"/>
      </w:pPr>
      <w:r>
        <w:rPr>
          <w:rFonts w:ascii="Times New Roman" w:hAnsi="Times New Roman"/>
          <w:sz w:val="24"/>
        </w:rPr>
        <w:t>This is a Monte Carlo simulation study with three linked analyses (Study 0A, 0B, 0C), not a study of human participants. All data were generated by a known, documented stochastic process (`simulation/SIMULATION_SPEC_V1.md`), which allows the "ground truth" latent traits to be compared against estimates obtained without reference to them.</w:t>
      </w:r>
    </w:p>
    <w:p>
      <w:pPr>
        <w:spacing w:before="240"/>
      </w:pPr>
      <w:r>
        <w:rPr>
          <w:rFonts w:ascii="Times New Roman" w:hAnsi="Times New Roman"/>
          <w:b/>
          <w:sz w:val="24"/>
        </w:rPr>
        <w:t>Simulated Sample and Item Bank</w:t>
      </w:r>
    </w:p>
    <w:p>
      <w:pPr>
        <w:ind w:firstLine="720"/>
      </w:pPr>
      <w:r>
        <w:rPr>
          <w:rFonts w:ascii="Times New Roman" w:hAnsi="Times New Roman"/>
          <w:sz w:val="24"/>
        </w:rPr>
        <w:t>The baseline dataset comprised 1,000 simulated participants. Each participant completed 40 veracity-judgment items (half true, half false claims), 10 belief-updating items (an initial judgment, corrective evidence, and a post-correction judgment), and 10 verification items (choosing an effective verification action). Item parameters (difficulty, discrimination, topic, emotionality, political valence, source credibility, linguistic plausibility, prior-exposure rate, and, for updating items, evidence strength and evidence complexity) were themselves randomly generated per item from documented distributions.</w:t>
      </w:r>
    </w:p>
    <w:p>
      <w:pPr>
        <w:spacing w:before="240"/>
      </w:pPr>
      <w:r>
        <w:rPr>
          <w:rFonts w:ascii="Times New Roman" w:hAnsi="Times New Roman"/>
          <w:b/>
          <w:sz w:val="24"/>
        </w:rPr>
        <w:t>Data-Generating Model</w:t>
      </w:r>
    </w:p>
    <w:p>
      <w:pPr>
        <w:ind w:firstLine="720"/>
      </w:pPr>
      <w:r>
        <w:rPr>
          <w:rFonts w:ascii="Times New Roman" w:hAnsi="Times New Roman"/>
          <w:sz w:val="24"/>
        </w:rPr>
        <w:t>Ten correlated latent participant traits were drawn from a multivariate normal distribution with a fixed correlation structure: discernment, calibration, evidence evaluation, updating, verification, sharing restraint, general knowledge, credulity bias, congruence susceptibility, and emotional reactivity, plus an independently distributed carelessness probability. Observed responses (veracity judgments, confidence ratings, sharing decisions, updating judgments, comprehension-check responses, and verification choices) were generated as logistic or probability-threshold functions of these traits and the corresponding item parameters, with additive noise and a per-trial probability of careless (near-random) responding. Full generating equations are documented in `simulation/SIMULATION_SPEC_V1.md`.</w:t>
      </w:r>
    </w:p>
    <w:p>
      <w:pPr>
        <w:ind w:firstLine="720"/>
      </w:pPr>
      <w:r>
        <w:rPr>
          <w:rFonts w:ascii="Times New Roman" w:hAnsi="Times New Roman"/>
          <w:b/>
          <w:sz w:val="24"/>
        </w:rPr>
        <w:t>The V1.2 revision.</w:t>
      </w:r>
      <w:r>
        <w:rPr>
          <w:rFonts w:ascii="Times New Roman" w:hAnsi="Times New Roman"/>
          <w:sz w:val="24"/>
        </w:rPr>
        <w:t xml:space="preserve"> In the original design, evidence comprehension was represented only as a hidden latent variable folded directly into the belief-movement calculation; it was not a response a real assessment could ever observe. We revised the model so that participants instead emit an observable binary response, `comprehension_correct`, drawn from a Bernoulli distribution whose probability is a logistic function of evidence-evaluation ability, item evidence-complexity, and general knowledge. Belief movement continues to depend on the same underlying continuous comprehension signal (not the binarized response itself, which is a noisy indicator of it), so that the belief-updating process is unchanged in its qualitative structure while evidence comprehension becomes independently measurable.</w:t>
      </w:r>
    </w:p>
    <w:p>
      <w:pPr>
        <w:spacing w:before="240"/>
      </w:pPr>
      <w:r>
        <w:rPr>
          <w:rFonts w:ascii="Times New Roman" w:hAnsi="Times New Roman"/>
          <w:b/>
          <w:sz w:val="24"/>
        </w:rPr>
        <w:t>Analytic Strategy</w:t>
      </w:r>
    </w:p>
    <w:p>
      <w:pPr>
        <w:ind w:firstLine="720"/>
      </w:pPr>
      <w:r>
        <w:rPr>
          <w:rFonts w:ascii="Times New Roman" w:hAnsi="Times New Roman"/>
          <w:b/>
          <w:sz w:val="24"/>
        </w:rPr>
        <w:t>Study 0A (observed-only descriptive benchmark).</w:t>
      </w:r>
      <w:r>
        <w:rPr>
          <w:rFonts w:ascii="Times New Roman" w:hAnsi="Times New Roman"/>
          <w:sz w:val="24"/>
        </w:rPr>
        <w:t xml:space="preserve"> Participant-level summary scores (overall and conditional accuracy, signal-detection </w:t>
      </w:r>
      <w:r>
        <w:rPr>
          <w:rFonts w:ascii="Times New Roman" w:hAnsi="Times New Roman"/>
          <w:i/>
          <w:sz w:val="24"/>
        </w:rPr>
        <w:t>d′</w:t>
      </w:r>
      <w:r>
        <w:rPr>
          <w:rFonts w:ascii="Times New Roman" w:hAnsi="Times New Roman"/>
          <w:sz w:val="24"/>
        </w:rPr>
        <w:t xml:space="preserve"> and criterion, mean confidence, confidence–accuracy gap, Brier score, share rate, sharing-restraint score, updating success rate, mean appropriate belief movement, and verification accuracy) were computed from the observed response files only.</w:t>
      </w:r>
    </w:p>
    <w:p>
      <w:pPr>
        <w:ind w:firstLine="720"/>
      </w:pPr>
      <w:r>
        <w:rPr>
          <w:rFonts w:ascii="Times New Roman" w:hAnsi="Times New Roman"/>
          <w:b/>
          <w:sz w:val="24"/>
        </w:rPr>
        <w:t>Study 0B (item-level recovery models).</w:t>
      </w:r>
      <w:r>
        <w:rPr>
          <w:rFonts w:ascii="Times New Roman" w:hAnsi="Times New Roman"/>
          <w:sz w:val="24"/>
        </w:rPr>
        <w:t xml:space="preserve"> Four models were fit, in each case using only observed responses:</w:t>
      </w:r>
    </w:p>
    <w:p>
      <w:pPr>
        <w:ind w:firstLine="720"/>
      </w:pPr>
      <w:r>
        <w:rPr>
          <w:rFonts w:ascii="Times New Roman" w:hAnsi="Times New Roman"/>
          <w:sz w:val="24"/>
        </w:rPr>
        <w:t xml:space="preserve">1. </w:t>
      </w:r>
      <w:r>
        <w:rPr>
          <w:rFonts w:ascii="Times New Roman" w:hAnsi="Times New Roman"/>
          <w:i/>
          <w:sz w:val="24"/>
        </w:rPr>
        <w:t>Veracity model.</w:t>
      </w:r>
      <w:r>
        <w:rPr>
          <w:rFonts w:ascii="Times New Roman" w:hAnsi="Times New Roman"/>
          <w:sz w:val="24"/>
        </w:rPr>
        <w:t xml:space="preserve"> For each participant, a two-parameter logistic model (response-bias intercept and truth-status-weighted discernment slope) was fit by penalized maximum likelihood across that participant's 40 veracity judgments. 2. </w:t>
      </w:r>
      <w:r>
        <w:rPr>
          <w:rFonts w:ascii="Times New Roman" w:hAnsi="Times New Roman"/>
          <w:i/>
          <w:sz w:val="24"/>
        </w:rPr>
        <w:t>Verification model.</w:t>
      </w:r>
      <w:r>
        <w:rPr>
          <w:rFonts w:ascii="Times New Roman" w:hAnsi="Times New Roman"/>
          <w:sz w:val="24"/>
        </w:rPr>
        <w:t xml:space="preserve"> A person–item (Rasch-style) logistic model was fit across all participants' binary verification-item outcomes, using item-level correct-response rates as fixed item difficulties and estimating a person ability parameter per participant. 3. </w:t>
      </w:r>
      <w:r>
        <w:rPr>
          <w:rFonts w:ascii="Times New Roman" w:hAnsi="Times New Roman"/>
          <w:i/>
          <w:sz w:val="24"/>
        </w:rPr>
        <w:t>Evidence-comprehension model.</w:t>
      </w:r>
      <w:r>
        <w:rPr>
          <w:rFonts w:ascii="Times New Roman" w:hAnsi="Times New Roman"/>
          <w:sz w:val="24"/>
        </w:rPr>
        <w:t xml:space="preserve"> The same person–item logistic approach was applied to the observed `comprehension_correct` responses from the updating task, yielding an evidence-evaluation ability estimate per participant. 4. </w:t>
      </w:r>
      <w:r>
        <w:rPr>
          <w:rFonts w:ascii="Times New Roman" w:hAnsi="Times New Roman"/>
          <w:i/>
          <w:sz w:val="24"/>
        </w:rPr>
        <w:t>Updating model.</w:t>
      </w:r>
      <w:r>
        <w:rPr>
          <w:rFonts w:ascii="Times New Roman" w:hAnsi="Times New Roman"/>
          <w:sz w:val="24"/>
        </w:rPr>
        <w:t xml:space="preserve"> A two-level (mixed-effects) linear model of appropriate belief movement was fit with evidence strength (item-level) and the </w:t>
      </w:r>
      <w:r>
        <w:rPr>
          <w:rFonts w:ascii="Times New Roman" w:hAnsi="Times New Roman"/>
          <w:i/>
          <w:sz w:val="24"/>
        </w:rPr>
        <w:t>within-person</w:t>
      </w:r>
      <w:r>
        <w:rPr>
          <w:rFonts w:ascii="Times New Roman" w:hAnsi="Times New Roman"/>
          <w:sz w:val="24"/>
        </w:rPr>
        <w:t xml:space="preserve"> deviation of `comprehension_correct` as fixed effects and a random intercept per participant. The within-person centering was necessary because comprehension and updating are correlated traits in the generating model; an initial specification using the raw (uncentered) response as a single fixed effect conflated the two, suppressing the updating estimate (see Results).</w:t>
      </w:r>
    </w:p>
    <w:p>
      <w:pPr>
        <w:ind w:firstLine="720"/>
      </w:pPr>
      <w:r>
        <w:rPr>
          <w:rFonts w:ascii="Times New Roman" w:hAnsi="Times New Roman"/>
          <w:b/>
          <w:sz w:val="24"/>
        </w:rPr>
        <w:t>Study 0C (Monte Carlo robustness sweep).</w:t>
      </w:r>
      <w:r>
        <w:rPr>
          <w:rFonts w:ascii="Times New Roman" w:hAnsi="Times New Roman"/>
          <w:sz w:val="24"/>
        </w:rPr>
        <w:t xml:space="preserve"> All four Study 0B models were re-fit on 13 freshly simulated datasets, each varying exactly one generating condition away from the baseline: sample size (250, 1,000, 2,000), veracity item count (20, 40, 80), item difficulty spread (narrower, baseline, wider), response noise (lower, baseline, higher), carelessness rate (lower, baseline, higher), and latent correlation strength (weaker, moderately weaker, baseline). This is a one-factor-at-a-time sensitivity sweep rather than a fully replicated design with repeated-sampling variability estimated at each condition.</w:t>
      </w:r>
    </w:p>
    <w:p>
      <w:pPr>
        <w:ind w:firstLine="720"/>
      </w:pPr>
      <w:r>
        <w:rPr>
          <w:rFonts w:ascii="Times New Roman" w:hAnsi="Times New Roman"/>
          <w:sz w:val="24"/>
        </w:rPr>
        <w:t>In all cases, the hidden generating traits (`participants.csv`) were loaded only after model fitting, for a single post-estimation Pearson correlation between each estimated quantity and its intended hidden trait.</w:t>
      </w:r>
    </w:p>
    <w:p>
      <w:pPr>
        <w:spacing w:before="240"/>
        <w:jc w:val="center"/>
      </w:pPr>
      <w:r>
        <w:rPr>
          <w:rFonts w:ascii="Times New Roman" w:hAnsi="Times New Roman"/>
          <w:b/>
          <w:sz w:val="24"/>
        </w:rPr>
        <w:t>Results</w:t>
      </w:r>
    </w:p>
    <w:p>
      <w:pPr>
        <w:spacing w:before="240"/>
      </w:pPr>
      <w:r>
        <w:rPr>
          <w:rFonts w:ascii="Times New Roman" w:hAnsi="Times New Roman"/>
          <w:b/>
          <w:sz w:val="24"/>
        </w:rPr>
        <w:t>Descriptive Benchmark (Study 0A)</w:t>
      </w:r>
    </w:p>
    <w:p>
      <w:pPr>
        <w:ind w:firstLine="720"/>
      </w:pPr>
      <w:r>
        <w:rPr>
          <w:rFonts w:ascii="Times New Roman" w:hAnsi="Times New Roman"/>
          <w:sz w:val="24"/>
        </w:rPr>
        <w:t>The baseline synthetic sample showed a broad, interpretable range of simulated behavior: mean veracity accuracy = .605, mean confidence = 83.31 (0–100 scale), share rate = .419, careless-trial rate = .057, updating success rate = .764, and verification accuracy = .440.</w:t>
      </w:r>
    </w:p>
    <w:p>
      <w:pPr>
        <w:spacing w:before="240"/>
      </w:pPr>
      <w:r>
        <w:rPr>
          <w:rFonts w:ascii="Times New Roman" w:hAnsi="Times New Roman"/>
          <w:b/>
          <w:sz w:val="24"/>
        </w:rPr>
        <w:t>Item-Level Recovery (Study 0B)</w:t>
      </w:r>
    </w:p>
    <w:p>
      <w:pPr>
        <w:ind w:firstLine="720"/>
      </w:pPr>
      <w:r>
        <w:rPr>
          <w:rFonts w:ascii="Times New Roman" w:hAnsi="Times New Roman"/>
          <w:sz w:val="24"/>
        </w:rPr>
        <w:t>Table 1 reports the correlation between each item-level model's estimate and its intended hidden generating trait on the baseline dataset. Discernment (</w:t>
      </w:r>
      <w:r>
        <w:rPr>
          <w:rFonts w:ascii="Times New Roman" w:hAnsi="Times New Roman"/>
          <w:i/>
          <w:sz w:val="24"/>
        </w:rPr>
        <w:t>r</w:t>
      </w:r>
      <w:r>
        <w:rPr>
          <w:rFonts w:ascii="Times New Roman" w:hAnsi="Times New Roman"/>
          <w:sz w:val="24"/>
        </w:rPr>
        <w:t xml:space="preserve"> = .927), verification ability (</w:t>
      </w:r>
      <w:r>
        <w:rPr>
          <w:rFonts w:ascii="Times New Roman" w:hAnsi="Times New Roman"/>
          <w:i/>
          <w:sz w:val="24"/>
        </w:rPr>
        <w:t>r</w:t>
      </w:r>
      <w:r>
        <w:rPr>
          <w:rFonts w:ascii="Times New Roman" w:hAnsi="Times New Roman"/>
          <w:sz w:val="24"/>
        </w:rPr>
        <w:t xml:space="preserve"> = .816), and evidence-evaluation ability (</w:t>
      </w:r>
      <w:r>
        <w:rPr>
          <w:rFonts w:ascii="Times New Roman" w:hAnsi="Times New Roman"/>
          <w:i/>
          <w:sz w:val="24"/>
        </w:rPr>
        <w:t>r</w:t>
      </w:r>
      <w:r>
        <w:rPr>
          <w:rFonts w:ascii="Times New Roman" w:hAnsi="Times New Roman"/>
          <w:sz w:val="24"/>
        </w:rPr>
        <w:t xml:space="preserve"> = .707) were recovered strongly; response bias was recovered moderately (</w:t>
      </w:r>
      <w:r>
        <w:rPr>
          <w:rFonts w:ascii="Times New Roman" w:hAnsi="Times New Roman"/>
          <w:i/>
          <w:sz w:val="24"/>
        </w:rPr>
        <w:t>r</w:t>
      </w:r>
      <w:r>
        <w:rPr>
          <w:rFonts w:ascii="Times New Roman" w:hAnsi="Times New Roman"/>
          <w:sz w:val="24"/>
        </w:rPr>
        <w:t xml:space="preserve"> = .549); belief updating was recovered modestly (</w:t>
      </w:r>
      <w:r>
        <w:rPr>
          <w:rFonts w:ascii="Times New Roman" w:hAnsi="Times New Roman"/>
          <w:i/>
          <w:sz w:val="24"/>
        </w:rPr>
        <w:t>r</w:t>
      </w:r>
      <w:r>
        <w:rPr>
          <w:rFonts w:ascii="Times New Roman" w:hAnsi="Times New Roman"/>
          <w:sz w:val="24"/>
        </w:rPr>
        <w:t xml:space="preserve"> = .383).</w:t>
      </w:r>
    </w:p>
    <w:p>
      <w:r>
        <w:rPr>
          <w:rFonts w:ascii="Times New Roman" w:hAnsi="Times New Roman"/>
          <w:i/>
          <w:sz w:val="24"/>
        </w:rPr>
        <w:t>Table 1</w:t>
      </w:r>
    </w:p>
    <w:p>
      <w:pPr>
        <w:ind w:firstLine="720"/>
      </w:pPr>
      <w:r>
        <w:rPr>
          <w:rFonts w:ascii="Times New Roman" w:hAnsi="Times New Roman"/>
          <w:i/>
          <w:sz w:val="24"/>
        </w:rPr>
        <w:t>Item-Level Recovery Correlations, Baseline Dataset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sz w:val="24"/>
              </w:rPr>
              <w:t>Model</w:t>
            </w:r>
          </w:p>
        </w:tc>
        <w:tc>
          <w:tcPr>
            <w:tcW w:type="dxa" w:w="2340"/>
          </w:tcPr>
          <w:p>
            <w:pPr>
              <w:spacing w:line="240" w:lineRule="auto"/>
            </w:pPr>
            <w:r>
              <w:rPr>
                <w:rFonts w:ascii="Times New Roman" w:hAnsi="Times New Roman"/>
                <w:sz w:val="24"/>
              </w:rPr>
              <w:t>Estimated quantity</w:t>
            </w:r>
          </w:p>
        </w:tc>
        <w:tc>
          <w:tcPr>
            <w:tcW w:type="dxa" w:w="2340"/>
          </w:tcPr>
          <w:p>
            <w:pPr>
              <w:spacing w:line="240" w:lineRule="auto"/>
            </w:pPr>
            <w:r>
              <w:rPr>
                <w:rFonts w:ascii="Times New Roman" w:hAnsi="Times New Roman"/>
                <w:sz w:val="24"/>
              </w:rPr>
              <w:t>Hidden trait</w:t>
            </w:r>
          </w:p>
        </w:tc>
        <w:tc>
          <w:tcPr>
            <w:tcW w:type="dxa" w:w="2340"/>
          </w:tcPr>
          <w:p>
            <w:pPr>
              <w:spacing w:line="240" w:lineRule="auto"/>
            </w:pPr>
            <w:r>
              <w:rPr>
                <w:rFonts w:ascii="Times New Roman" w:hAnsi="Times New Roman"/>
                <w:i/>
                <w:sz w:val="24"/>
              </w:rPr>
              <w:t>r</w:t>
            </w:r>
          </w:p>
        </w:tc>
      </w:tr>
      <w:tr>
        <w:tc>
          <w:tcPr>
            <w:tcW w:type="dxa" w:w="2340"/>
          </w:tcPr>
          <w:p>
            <w:pPr>
              <w:spacing w:line="240" w:lineRule="auto"/>
            </w:pPr>
            <w:r>
              <w:rPr>
                <w:rFonts w:ascii="Times New Roman" w:hAnsi="Times New Roman"/>
                <w:sz w:val="24"/>
              </w:rPr>
              <w:t>Veracity (person-level MLE)</w:t>
            </w:r>
          </w:p>
        </w:tc>
        <w:tc>
          <w:tcPr>
            <w:tcW w:type="dxa" w:w="2340"/>
          </w:tcPr>
          <w:p>
            <w:pPr>
              <w:spacing w:line="240" w:lineRule="auto"/>
            </w:pPr>
            <w:r>
              <w:rPr>
                <w:rFonts w:ascii="Times New Roman" w:hAnsi="Times New Roman"/>
                <w:sz w:val="24"/>
              </w:rPr>
              <w:t>Discernment</w:t>
            </w:r>
          </w:p>
        </w:tc>
        <w:tc>
          <w:tcPr>
            <w:tcW w:type="dxa" w:w="2340"/>
          </w:tcPr>
          <w:p>
            <w:pPr>
              <w:spacing w:line="240" w:lineRule="auto"/>
            </w:pPr>
            <w:r>
              <w:rPr>
                <w:rFonts w:ascii="Times New Roman" w:hAnsi="Times New Roman"/>
                <w:sz w:val="24"/>
              </w:rPr>
              <w:t>Discernment</w:t>
            </w:r>
          </w:p>
        </w:tc>
        <w:tc>
          <w:tcPr>
            <w:tcW w:type="dxa" w:w="2340"/>
          </w:tcPr>
          <w:p>
            <w:pPr>
              <w:spacing w:line="240" w:lineRule="auto"/>
            </w:pPr>
            <w:r>
              <w:rPr>
                <w:rFonts w:ascii="Times New Roman" w:hAnsi="Times New Roman"/>
                <w:sz w:val="24"/>
              </w:rPr>
              <w:t>.927</w:t>
            </w:r>
          </w:p>
        </w:tc>
      </w:tr>
      <w:tr>
        <w:tc>
          <w:tcPr>
            <w:tcW w:type="dxa" w:w="2340"/>
          </w:tcPr>
          <w:p>
            <w:pPr>
              <w:spacing w:line="240" w:lineRule="auto"/>
            </w:pPr>
            <w:r>
              <w:rPr>
                <w:rFonts w:ascii="Times New Roman" w:hAnsi="Times New Roman"/>
                <w:sz w:val="24"/>
              </w:rPr>
              <w:t>Veracity (person-level MLE)</w:t>
            </w:r>
          </w:p>
        </w:tc>
        <w:tc>
          <w:tcPr>
            <w:tcW w:type="dxa" w:w="2340"/>
          </w:tcPr>
          <w:p>
            <w:pPr>
              <w:spacing w:line="240" w:lineRule="auto"/>
            </w:pPr>
            <w:r>
              <w:rPr>
                <w:rFonts w:ascii="Times New Roman" w:hAnsi="Times New Roman"/>
                <w:sz w:val="24"/>
              </w:rPr>
              <w:t>Response bias</w:t>
            </w:r>
          </w:p>
        </w:tc>
        <w:tc>
          <w:tcPr>
            <w:tcW w:type="dxa" w:w="2340"/>
          </w:tcPr>
          <w:p>
            <w:pPr>
              <w:spacing w:line="240" w:lineRule="auto"/>
            </w:pPr>
            <w:r>
              <w:rPr>
                <w:rFonts w:ascii="Times New Roman" w:hAnsi="Times New Roman"/>
                <w:sz w:val="24"/>
              </w:rPr>
              <w:t>Credulity bias</w:t>
            </w:r>
          </w:p>
        </w:tc>
        <w:tc>
          <w:tcPr>
            <w:tcW w:type="dxa" w:w="2340"/>
          </w:tcPr>
          <w:p>
            <w:pPr>
              <w:spacing w:line="240" w:lineRule="auto"/>
            </w:pPr>
            <w:r>
              <w:rPr>
                <w:rFonts w:ascii="Times New Roman" w:hAnsi="Times New Roman"/>
                <w:sz w:val="24"/>
              </w:rPr>
              <w:t>.549</w:t>
            </w:r>
          </w:p>
        </w:tc>
      </w:tr>
      <w:tr>
        <w:tc>
          <w:tcPr>
            <w:tcW w:type="dxa" w:w="2340"/>
          </w:tcPr>
          <w:p>
            <w:pPr>
              <w:spacing w:line="240" w:lineRule="auto"/>
            </w:pPr>
            <w:r>
              <w:rPr>
                <w:rFonts w:ascii="Times New Roman" w:hAnsi="Times New Roman"/>
                <w:sz w:val="24"/>
              </w:rPr>
              <w:t>Verification (person–item IRT)</w:t>
            </w:r>
          </w:p>
        </w:tc>
        <w:tc>
          <w:tcPr>
            <w:tcW w:type="dxa" w:w="2340"/>
          </w:tcPr>
          <w:p>
            <w:pPr>
              <w:spacing w:line="240" w:lineRule="auto"/>
            </w:pPr>
            <w:r>
              <w:rPr>
                <w:rFonts w:ascii="Times New Roman" w:hAnsi="Times New Roman"/>
                <w:sz w:val="24"/>
              </w:rPr>
              <w:t>Verification ability</w:t>
            </w:r>
          </w:p>
        </w:tc>
        <w:tc>
          <w:tcPr>
            <w:tcW w:type="dxa" w:w="2340"/>
          </w:tcPr>
          <w:p>
            <w:pPr>
              <w:spacing w:line="240" w:lineRule="auto"/>
            </w:pPr>
            <w:r>
              <w:rPr>
                <w:rFonts w:ascii="Times New Roman" w:hAnsi="Times New Roman"/>
                <w:sz w:val="24"/>
              </w:rPr>
              <w:t>Verification</w:t>
            </w:r>
          </w:p>
        </w:tc>
        <w:tc>
          <w:tcPr>
            <w:tcW w:type="dxa" w:w="2340"/>
          </w:tcPr>
          <w:p>
            <w:pPr>
              <w:spacing w:line="240" w:lineRule="auto"/>
            </w:pPr>
            <w:r>
              <w:rPr>
                <w:rFonts w:ascii="Times New Roman" w:hAnsi="Times New Roman"/>
                <w:sz w:val="24"/>
              </w:rPr>
              <w:t>.816</w:t>
            </w:r>
          </w:p>
        </w:tc>
      </w:tr>
      <w:tr>
        <w:tc>
          <w:tcPr>
            <w:tcW w:type="dxa" w:w="2340"/>
          </w:tcPr>
          <w:p>
            <w:pPr>
              <w:spacing w:line="240" w:lineRule="auto"/>
            </w:pPr>
            <w:r>
              <w:rPr>
                <w:rFonts w:ascii="Times New Roman" w:hAnsi="Times New Roman"/>
                <w:sz w:val="24"/>
              </w:rPr>
              <w:t>Evidence comprehension (person–item IRT)</w:t>
            </w:r>
          </w:p>
        </w:tc>
        <w:tc>
          <w:tcPr>
            <w:tcW w:type="dxa" w:w="2340"/>
          </w:tcPr>
          <w:p>
            <w:pPr>
              <w:spacing w:line="240" w:lineRule="auto"/>
            </w:pPr>
            <w:r>
              <w:rPr>
                <w:rFonts w:ascii="Times New Roman" w:hAnsi="Times New Roman"/>
                <w:sz w:val="24"/>
              </w:rPr>
              <w:t>Evidence-evaluation ability</w:t>
            </w:r>
          </w:p>
        </w:tc>
        <w:tc>
          <w:tcPr>
            <w:tcW w:type="dxa" w:w="2340"/>
          </w:tcPr>
          <w:p>
            <w:pPr>
              <w:spacing w:line="240" w:lineRule="auto"/>
            </w:pPr>
            <w:r>
              <w:rPr>
                <w:rFonts w:ascii="Times New Roman" w:hAnsi="Times New Roman"/>
                <w:sz w:val="24"/>
              </w:rPr>
              <w:t>Evidence evaluation</w:t>
            </w:r>
          </w:p>
        </w:tc>
        <w:tc>
          <w:tcPr>
            <w:tcW w:type="dxa" w:w="2340"/>
          </w:tcPr>
          <w:p>
            <w:pPr>
              <w:spacing w:line="240" w:lineRule="auto"/>
            </w:pPr>
            <w:r>
              <w:rPr>
                <w:rFonts w:ascii="Times New Roman" w:hAnsi="Times New Roman"/>
                <w:sz w:val="24"/>
              </w:rPr>
              <w:t>.707</w:t>
            </w:r>
          </w:p>
        </w:tc>
      </w:tr>
      <w:tr>
        <w:tc>
          <w:tcPr>
            <w:tcW w:type="dxa" w:w="2340"/>
          </w:tcPr>
          <w:p>
            <w:pPr>
              <w:spacing w:line="240" w:lineRule="auto"/>
            </w:pPr>
            <w:r>
              <w:rPr>
                <w:rFonts w:ascii="Times New Roman" w:hAnsi="Times New Roman"/>
                <w:sz w:val="24"/>
              </w:rPr>
              <w:t>Updating (two-level model)</w:t>
            </w:r>
          </w:p>
        </w:tc>
        <w:tc>
          <w:tcPr>
            <w:tcW w:type="dxa" w:w="2340"/>
          </w:tcPr>
          <w:p>
            <w:pPr>
              <w:spacing w:line="240" w:lineRule="auto"/>
            </w:pPr>
            <w:r>
              <w:rPr>
                <w:rFonts w:ascii="Times New Roman" w:hAnsi="Times New Roman"/>
                <w:sz w:val="24"/>
              </w:rPr>
              <w:t>Updating ability</w:t>
            </w:r>
          </w:p>
        </w:tc>
        <w:tc>
          <w:tcPr>
            <w:tcW w:type="dxa" w:w="2340"/>
          </w:tcPr>
          <w:p>
            <w:pPr>
              <w:spacing w:line="240" w:lineRule="auto"/>
            </w:pPr>
            <w:r>
              <w:rPr>
                <w:rFonts w:ascii="Times New Roman" w:hAnsi="Times New Roman"/>
                <w:sz w:val="24"/>
              </w:rPr>
              <w:t>Updating</w:t>
            </w:r>
          </w:p>
        </w:tc>
        <w:tc>
          <w:tcPr>
            <w:tcW w:type="dxa" w:w="2340"/>
          </w:tcPr>
          <w:p>
            <w:pPr>
              <w:spacing w:line="240" w:lineRule="auto"/>
            </w:pPr>
            <w:r>
              <w:rPr>
                <w:rFonts w:ascii="Times New Roman" w:hAnsi="Times New Roman"/>
                <w:sz w:val="24"/>
              </w:rPr>
              <w:t>.383</w:t>
            </w:r>
          </w:p>
        </w:tc>
      </w:tr>
    </w:tbl>
    <w:p/>
    <w:p>
      <w:pPr>
        <w:ind w:firstLine="720"/>
      </w:pPr>
      <w:r>
        <w:rPr>
          <w:rFonts w:ascii="Times New Roman" w:hAnsi="Times New Roman"/>
          <w:i/>
          <w:sz w:val="24"/>
        </w:rPr>
        <w:t>Note.</w:t>
      </w:r>
      <w:r>
        <w:rPr>
          <w:rFonts w:ascii="Times New Roman" w:hAnsi="Times New Roman"/>
          <w:sz w:val="24"/>
        </w:rPr>
        <w:t xml:space="preserve"> Evidence-evaluation recovery reflects the V1.2 design, described above. An earlier version, in which evidence-evaluation ability was inferred only as a random slope in the updating model without an observable comprehension response, recovered evidence evaluation at </w:t>
      </w:r>
      <w:r>
        <w:rPr>
          <w:rFonts w:ascii="Times New Roman" w:hAnsi="Times New Roman"/>
          <w:i/>
          <w:sz w:val="24"/>
        </w:rPr>
        <w:t>r</w:t>
      </w:r>
      <w:r>
        <w:rPr>
          <w:rFonts w:ascii="Times New Roman" w:hAnsi="Times New Roman"/>
          <w:sz w:val="24"/>
        </w:rPr>
        <w:t xml:space="preserve"> = .133. A first attempt at the V1.2 updating model, which entered the raw (non-centered) `comprehension_correct` response as a shared fixed effect, recovered updating at only </w:t>
      </w:r>
      <w:r>
        <w:rPr>
          <w:rFonts w:ascii="Times New Roman" w:hAnsi="Times New Roman"/>
          <w:i/>
          <w:sz w:val="24"/>
        </w:rPr>
        <w:t>r</w:t>
      </w:r>
      <w:r>
        <w:rPr>
          <w:rFonts w:ascii="Times New Roman" w:hAnsi="Times New Roman"/>
          <w:sz w:val="24"/>
        </w:rPr>
        <w:t xml:space="preserve"> = .165, because comprehension and updating are correlated traits (population </w:t>
      </w:r>
      <w:r>
        <w:rPr>
          <w:rFonts w:ascii="Times New Roman" w:hAnsi="Times New Roman"/>
          <w:i/>
          <w:sz w:val="24"/>
        </w:rPr>
        <w:t>r</w:t>
      </w:r>
      <w:r>
        <w:rPr>
          <w:rFonts w:ascii="Times New Roman" w:hAnsi="Times New Roman"/>
          <w:sz w:val="24"/>
        </w:rPr>
        <w:t xml:space="preserve"> = .52 in the generating model) and the shared slope absorbed between-person variance that belonged to the updating estimate. Within-person centering of the comprehension predictor, reported in Table 1, restored updating recovery to the level obtained by the original design (</w:t>
      </w:r>
      <w:r>
        <w:rPr>
          <w:rFonts w:ascii="Times New Roman" w:hAnsi="Times New Roman"/>
          <w:i/>
          <w:sz w:val="24"/>
        </w:rPr>
        <w:t>r</w:t>
      </w:r>
      <w:r>
        <w:rPr>
          <w:rFonts w:ascii="Times New Roman" w:hAnsi="Times New Roman"/>
          <w:sz w:val="24"/>
        </w:rPr>
        <w:t xml:space="preserve"> = .383 vs. .374).</w:t>
      </w:r>
    </w:p>
    <w:p>
      <w:pPr>
        <w:spacing w:before="240"/>
      </w:pPr>
      <w:r>
        <w:rPr>
          <w:rFonts w:ascii="Times New Roman" w:hAnsi="Times New Roman"/>
          <w:b/>
          <w:sz w:val="24"/>
        </w:rPr>
        <w:t>Monte Carlo Robustness (Study 0C)</w:t>
      </w:r>
    </w:p>
    <w:p>
      <w:pPr>
        <w:ind w:firstLine="720"/>
      </w:pPr>
      <w:r>
        <w:rPr>
          <w:rFonts w:ascii="Times New Roman" w:hAnsi="Times New Roman"/>
          <w:sz w:val="24"/>
        </w:rPr>
        <w:t>Table 2 summarizes recovery across the 13 sweep conditions. Discernment (range = .871–.936), response bias (range = .490–.571), and verification (range = .778–.843) recovery were stable in both sign and approximate magnitude across every condition. Updating recovery was more variable (range = .264–.551) but never fell to zero or reversed sign. Evidence- evaluation recovery under the V1.2 design was stable and strong everywhere tested (range = .684–.748); the same sweep applied to the earlier V1 design had produced negative correlations in 8 of 12 non-baseline conditions (range = −.231 to .228), which we interpret as a measurement-architecture failure rather than evidence that the dimension is inherently unmeasurable.</w:t>
      </w:r>
    </w:p>
    <w:p>
      <w:r>
        <w:rPr>
          <w:rFonts w:ascii="Times New Roman" w:hAnsi="Times New Roman"/>
          <w:i/>
          <w:sz w:val="24"/>
        </w:rPr>
        <w:t>Table 2</w:t>
      </w:r>
    </w:p>
    <w:p>
      <w:pPr>
        <w:ind w:firstLine="720"/>
      </w:pPr>
      <w:r>
        <w:rPr>
          <w:rFonts w:ascii="Times New Roman" w:hAnsi="Times New Roman"/>
          <w:i/>
          <w:sz w:val="24"/>
        </w:rPr>
        <w:t>Monte Carlo Robustness Sweep (V1.2 Design)</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rFonts w:ascii="Times New Roman" w:hAnsi="Times New Roman"/>
                <w:sz w:val="24"/>
              </w:rPr>
              <w:t>Condition</w:t>
            </w:r>
          </w:p>
        </w:tc>
        <w:tc>
          <w:tcPr>
            <w:tcW w:type="dxa" w:w="1560"/>
          </w:tcPr>
          <w:p>
            <w:pPr>
              <w:spacing w:line="240" w:lineRule="auto"/>
            </w:pPr>
            <w:r>
              <w:rPr>
                <w:rFonts w:ascii="Times New Roman" w:hAnsi="Times New Roman"/>
                <w:sz w:val="24"/>
              </w:rPr>
              <w:t xml:space="preserve">Discernment </w:t>
            </w:r>
            <w:r>
              <w:rPr>
                <w:rFonts w:ascii="Times New Roman" w:hAnsi="Times New Roman"/>
                <w:i/>
                <w:sz w:val="24"/>
              </w:rPr>
              <w:t>r</w:t>
            </w:r>
          </w:p>
        </w:tc>
        <w:tc>
          <w:tcPr>
            <w:tcW w:type="dxa" w:w="1560"/>
          </w:tcPr>
          <w:p>
            <w:pPr>
              <w:spacing w:line="240" w:lineRule="auto"/>
            </w:pPr>
            <w:r>
              <w:rPr>
                <w:rFonts w:ascii="Times New Roman" w:hAnsi="Times New Roman"/>
                <w:sz w:val="24"/>
              </w:rPr>
              <w:t xml:space="preserve">Response-bias </w:t>
            </w:r>
            <w:r>
              <w:rPr>
                <w:rFonts w:ascii="Times New Roman" w:hAnsi="Times New Roman"/>
                <w:i/>
                <w:sz w:val="24"/>
              </w:rPr>
              <w:t>r</w:t>
            </w:r>
          </w:p>
        </w:tc>
        <w:tc>
          <w:tcPr>
            <w:tcW w:type="dxa" w:w="1560"/>
          </w:tcPr>
          <w:p>
            <w:pPr>
              <w:spacing w:line="240" w:lineRule="auto"/>
            </w:pPr>
            <w:r>
              <w:rPr>
                <w:rFonts w:ascii="Times New Roman" w:hAnsi="Times New Roman"/>
                <w:sz w:val="24"/>
              </w:rPr>
              <w:t xml:space="preserve">Verification </w:t>
            </w:r>
            <w:r>
              <w:rPr>
                <w:rFonts w:ascii="Times New Roman" w:hAnsi="Times New Roman"/>
                <w:i/>
                <w:sz w:val="24"/>
              </w:rPr>
              <w:t>r</w:t>
            </w:r>
          </w:p>
        </w:tc>
        <w:tc>
          <w:tcPr>
            <w:tcW w:type="dxa" w:w="1560"/>
          </w:tcPr>
          <w:p>
            <w:pPr>
              <w:spacing w:line="240" w:lineRule="auto"/>
            </w:pPr>
            <w:r>
              <w:rPr>
                <w:rFonts w:ascii="Times New Roman" w:hAnsi="Times New Roman"/>
                <w:sz w:val="24"/>
              </w:rPr>
              <w:t xml:space="preserve">Updating </w:t>
            </w:r>
            <w:r>
              <w:rPr>
                <w:rFonts w:ascii="Times New Roman" w:hAnsi="Times New Roman"/>
                <w:i/>
                <w:sz w:val="24"/>
              </w:rPr>
              <w:t>r</w:t>
            </w:r>
          </w:p>
        </w:tc>
        <w:tc>
          <w:tcPr>
            <w:tcW w:type="dxa" w:w="1560"/>
          </w:tcPr>
          <w:p>
            <w:pPr>
              <w:spacing w:line="240" w:lineRule="auto"/>
            </w:pPr>
            <w:r>
              <w:rPr>
                <w:rFonts w:ascii="Times New Roman" w:hAnsi="Times New Roman"/>
                <w:sz w:val="24"/>
              </w:rPr>
              <w:t xml:space="preserve">Evidence-evaluation </w:t>
            </w:r>
            <w:r>
              <w:rPr>
                <w:rFonts w:ascii="Times New Roman" w:hAnsi="Times New Roman"/>
                <w:i/>
                <w:sz w:val="24"/>
              </w:rPr>
              <w:t>r</w:t>
            </w:r>
          </w:p>
        </w:tc>
      </w:tr>
      <w:tr>
        <w:tc>
          <w:tcPr>
            <w:tcW w:type="dxa" w:w="1560"/>
          </w:tcPr>
          <w:p>
            <w:pPr>
              <w:spacing w:line="240" w:lineRule="auto"/>
            </w:pPr>
            <w:r>
              <w:rPr>
                <w:rFonts w:ascii="Times New Roman" w:hAnsi="Times New Roman"/>
                <w:sz w:val="24"/>
              </w:rPr>
              <w:t>Baseline (</w:t>
            </w:r>
            <w:r>
              <w:rPr>
                <w:rFonts w:ascii="Times New Roman" w:hAnsi="Times New Roman"/>
                <w:i/>
                <w:sz w:val="24"/>
              </w:rPr>
              <w:t>N</w:t>
            </w:r>
            <w:r>
              <w:rPr>
                <w:rFonts w:ascii="Times New Roman" w:hAnsi="Times New Roman"/>
                <w:sz w:val="24"/>
              </w:rPr>
              <w:t xml:space="preserve"> = 1,000, 40 items)</w:t>
            </w:r>
          </w:p>
        </w:tc>
        <w:tc>
          <w:tcPr>
            <w:tcW w:type="dxa" w:w="1560"/>
          </w:tcPr>
          <w:p>
            <w:pPr>
              <w:spacing w:line="240" w:lineRule="auto"/>
            </w:pPr>
            <w:r>
              <w:rPr>
                <w:rFonts w:ascii="Times New Roman" w:hAnsi="Times New Roman"/>
                <w:sz w:val="24"/>
              </w:rPr>
              <w:t>.927</w:t>
            </w:r>
          </w:p>
        </w:tc>
        <w:tc>
          <w:tcPr>
            <w:tcW w:type="dxa" w:w="1560"/>
          </w:tcPr>
          <w:p>
            <w:pPr>
              <w:spacing w:line="240" w:lineRule="auto"/>
            </w:pPr>
            <w:r>
              <w:rPr>
                <w:rFonts w:ascii="Times New Roman" w:hAnsi="Times New Roman"/>
                <w:sz w:val="24"/>
              </w:rPr>
              <w:t>.549</w:t>
            </w:r>
          </w:p>
        </w:tc>
        <w:tc>
          <w:tcPr>
            <w:tcW w:type="dxa" w:w="1560"/>
          </w:tcPr>
          <w:p>
            <w:pPr>
              <w:spacing w:line="240" w:lineRule="auto"/>
            </w:pPr>
            <w:r>
              <w:rPr>
                <w:rFonts w:ascii="Times New Roman" w:hAnsi="Times New Roman"/>
                <w:sz w:val="24"/>
              </w:rPr>
              <w:t>.816</w:t>
            </w:r>
          </w:p>
        </w:tc>
        <w:tc>
          <w:tcPr>
            <w:tcW w:type="dxa" w:w="1560"/>
          </w:tcPr>
          <w:p>
            <w:pPr>
              <w:spacing w:line="240" w:lineRule="auto"/>
            </w:pPr>
            <w:r>
              <w:rPr>
                <w:rFonts w:ascii="Times New Roman" w:hAnsi="Times New Roman"/>
                <w:sz w:val="24"/>
              </w:rPr>
              <w:t>.383</w:t>
            </w:r>
          </w:p>
        </w:tc>
        <w:tc>
          <w:tcPr>
            <w:tcW w:type="dxa" w:w="1560"/>
          </w:tcPr>
          <w:p>
            <w:pPr>
              <w:spacing w:line="240" w:lineRule="auto"/>
            </w:pPr>
            <w:r>
              <w:rPr>
                <w:rFonts w:ascii="Times New Roman" w:hAnsi="Times New Roman"/>
                <w:sz w:val="24"/>
              </w:rPr>
              <w:t>.707</w:t>
            </w:r>
          </w:p>
        </w:tc>
      </w:tr>
      <w:tr>
        <w:tc>
          <w:tcPr>
            <w:tcW w:type="dxa" w:w="1560"/>
          </w:tcPr>
          <w:p>
            <w:pPr>
              <w:spacing w:line="240" w:lineRule="auto"/>
            </w:pPr>
            <w:r>
              <w:rPr>
                <w:rFonts w:ascii="Times New Roman" w:hAnsi="Times New Roman"/>
                <w:i/>
                <w:sz w:val="24"/>
              </w:rPr>
              <w:t>N</w:t>
            </w:r>
            <w:r>
              <w:rPr>
                <w:rFonts w:ascii="Times New Roman" w:hAnsi="Times New Roman"/>
                <w:sz w:val="24"/>
              </w:rPr>
              <w:t xml:space="preserve"> = 250</w:t>
            </w:r>
          </w:p>
        </w:tc>
        <w:tc>
          <w:tcPr>
            <w:tcW w:type="dxa" w:w="1560"/>
          </w:tcPr>
          <w:p>
            <w:pPr>
              <w:spacing w:line="240" w:lineRule="auto"/>
            </w:pPr>
            <w:r>
              <w:rPr>
                <w:rFonts w:ascii="Times New Roman" w:hAnsi="Times New Roman"/>
                <w:sz w:val="24"/>
              </w:rPr>
              <w:t>.913</w:t>
            </w:r>
          </w:p>
        </w:tc>
        <w:tc>
          <w:tcPr>
            <w:tcW w:type="dxa" w:w="1560"/>
          </w:tcPr>
          <w:p>
            <w:pPr>
              <w:spacing w:line="240" w:lineRule="auto"/>
            </w:pPr>
            <w:r>
              <w:rPr>
                <w:rFonts w:ascii="Times New Roman" w:hAnsi="Times New Roman"/>
                <w:sz w:val="24"/>
              </w:rPr>
              <w:t>.507</w:t>
            </w:r>
          </w:p>
        </w:tc>
        <w:tc>
          <w:tcPr>
            <w:tcW w:type="dxa" w:w="1560"/>
          </w:tcPr>
          <w:p>
            <w:pPr>
              <w:spacing w:line="240" w:lineRule="auto"/>
            </w:pPr>
            <w:r>
              <w:rPr>
                <w:rFonts w:ascii="Times New Roman" w:hAnsi="Times New Roman"/>
                <w:sz w:val="24"/>
              </w:rPr>
              <w:t>.832</w:t>
            </w:r>
          </w:p>
        </w:tc>
        <w:tc>
          <w:tcPr>
            <w:tcW w:type="dxa" w:w="1560"/>
          </w:tcPr>
          <w:p>
            <w:pPr>
              <w:spacing w:line="240" w:lineRule="auto"/>
            </w:pPr>
            <w:r>
              <w:rPr>
                <w:rFonts w:ascii="Times New Roman" w:hAnsi="Times New Roman"/>
                <w:sz w:val="24"/>
              </w:rPr>
              <w:t>.382</w:t>
            </w:r>
          </w:p>
        </w:tc>
        <w:tc>
          <w:tcPr>
            <w:tcW w:type="dxa" w:w="1560"/>
          </w:tcPr>
          <w:p>
            <w:pPr>
              <w:spacing w:line="240" w:lineRule="auto"/>
            </w:pPr>
            <w:r>
              <w:rPr>
                <w:rFonts w:ascii="Times New Roman" w:hAnsi="Times New Roman"/>
                <w:sz w:val="24"/>
              </w:rPr>
              <w:t>.708</w:t>
            </w:r>
          </w:p>
        </w:tc>
      </w:tr>
      <w:tr>
        <w:tc>
          <w:tcPr>
            <w:tcW w:type="dxa" w:w="1560"/>
          </w:tcPr>
          <w:p>
            <w:pPr>
              <w:spacing w:line="240" w:lineRule="auto"/>
            </w:pPr>
            <w:r>
              <w:rPr>
                <w:rFonts w:ascii="Times New Roman" w:hAnsi="Times New Roman"/>
                <w:i/>
                <w:sz w:val="24"/>
              </w:rPr>
              <w:t>N</w:t>
            </w:r>
            <w:r>
              <w:rPr>
                <w:rFonts w:ascii="Times New Roman" w:hAnsi="Times New Roman"/>
                <w:sz w:val="24"/>
              </w:rPr>
              <w:t xml:space="preserve"> = 2,000</w:t>
            </w:r>
          </w:p>
        </w:tc>
        <w:tc>
          <w:tcPr>
            <w:tcW w:type="dxa" w:w="1560"/>
          </w:tcPr>
          <w:p>
            <w:pPr>
              <w:spacing w:line="240" w:lineRule="auto"/>
            </w:pPr>
            <w:r>
              <w:rPr>
                <w:rFonts w:ascii="Times New Roman" w:hAnsi="Times New Roman"/>
                <w:sz w:val="24"/>
              </w:rPr>
              <w:t>.917</w:t>
            </w:r>
          </w:p>
        </w:tc>
        <w:tc>
          <w:tcPr>
            <w:tcW w:type="dxa" w:w="1560"/>
          </w:tcPr>
          <w:p>
            <w:pPr>
              <w:spacing w:line="240" w:lineRule="auto"/>
            </w:pPr>
            <w:r>
              <w:rPr>
                <w:rFonts w:ascii="Times New Roman" w:hAnsi="Times New Roman"/>
                <w:sz w:val="24"/>
              </w:rPr>
              <w:t>.525</w:t>
            </w:r>
          </w:p>
        </w:tc>
        <w:tc>
          <w:tcPr>
            <w:tcW w:type="dxa" w:w="1560"/>
          </w:tcPr>
          <w:p>
            <w:pPr>
              <w:spacing w:line="240" w:lineRule="auto"/>
            </w:pPr>
            <w:r>
              <w:rPr>
                <w:rFonts w:ascii="Times New Roman" w:hAnsi="Times New Roman"/>
                <w:sz w:val="24"/>
              </w:rPr>
              <w:t>.815</w:t>
            </w:r>
          </w:p>
        </w:tc>
        <w:tc>
          <w:tcPr>
            <w:tcW w:type="dxa" w:w="1560"/>
          </w:tcPr>
          <w:p>
            <w:pPr>
              <w:spacing w:line="240" w:lineRule="auto"/>
            </w:pPr>
            <w:r>
              <w:rPr>
                <w:rFonts w:ascii="Times New Roman" w:hAnsi="Times New Roman"/>
                <w:sz w:val="24"/>
              </w:rPr>
              <w:t>.357</w:t>
            </w:r>
          </w:p>
        </w:tc>
        <w:tc>
          <w:tcPr>
            <w:tcW w:type="dxa" w:w="1560"/>
          </w:tcPr>
          <w:p>
            <w:pPr>
              <w:spacing w:line="240" w:lineRule="auto"/>
            </w:pPr>
            <w:r>
              <w:rPr>
                <w:rFonts w:ascii="Times New Roman" w:hAnsi="Times New Roman"/>
                <w:sz w:val="24"/>
              </w:rPr>
              <w:t>.736</w:t>
            </w:r>
          </w:p>
        </w:tc>
      </w:tr>
      <w:tr>
        <w:tc>
          <w:tcPr>
            <w:tcW w:type="dxa" w:w="1560"/>
          </w:tcPr>
          <w:p>
            <w:pPr>
              <w:spacing w:line="240" w:lineRule="auto"/>
            </w:pPr>
            <w:r>
              <w:rPr>
                <w:rFonts w:ascii="Times New Roman" w:hAnsi="Times New Roman"/>
                <w:sz w:val="24"/>
              </w:rPr>
              <w:t>20 veracity items</w:t>
            </w:r>
          </w:p>
        </w:tc>
        <w:tc>
          <w:tcPr>
            <w:tcW w:type="dxa" w:w="1560"/>
          </w:tcPr>
          <w:p>
            <w:pPr>
              <w:spacing w:line="240" w:lineRule="auto"/>
            </w:pPr>
            <w:r>
              <w:rPr>
                <w:rFonts w:ascii="Times New Roman" w:hAnsi="Times New Roman"/>
                <w:sz w:val="24"/>
              </w:rPr>
              <w:t>.891</w:t>
            </w:r>
          </w:p>
        </w:tc>
        <w:tc>
          <w:tcPr>
            <w:tcW w:type="dxa" w:w="1560"/>
          </w:tcPr>
          <w:p>
            <w:pPr>
              <w:spacing w:line="240" w:lineRule="auto"/>
            </w:pPr>
            <w:r>
              <w:rPr>
                <w:rFonts w:ascii="Times New Roman" w:hAnsi="Times New Roman"/>
                <w:sz w:val="24"/>
              </w:rPr>
              <w:t>.538</w:t>
            </w:r>
          </w:p>
        </w:tc>
        <w:tc>
          <w:tcPr>
            <w:tcW w:type="dxa" w:w="1560"/>
          </w:tcPr>
          <w:p>
            <w:pPr>
              <w:spacing w:line="240" w:lineRule="auto"/>
            </w:pPr>
            <w:r>
              <w:rPr>
                <w:rFonts w:ascii="Times New Roman" w:hAnsi="Times New Roman"/>
                <w:sz w:val="24"/>
              </w:rPr>
              <w:t>.828</w:t>
            </w:r>
          </w:p>
        </w:tc>
        <w:tc>
          <w:tcPr>
            <w:tcW w:type="dxa" w:w="1560"/>
          </w:tcPr>
          <w:p>
            <w:pPr>
              <w:spacing w:line="240" w:lineRule="auto"/>
            </w:pPr>
            <w:r>
              <w:rPr>
                <w:rFonts w:ascii="Times New Roman" w:hAnsi="Times New Roman"/>
                <w:sz w:val="24"/>
              </w:rPr>
              <w:t>.382</w:t>
            </w:r>
          </w:p>
        </w:tc>
        <w:tc>
          <w:tcPr>
            <w:tcW w:type="dxa" w:w="1560"/>
          </w:tcPr>
          <w:p>
            <w:pPr>
              <w:spacing w:line="240" w:lineRule="auto"/>
            </w:pPr>
            <w:r>
              <w:rPr>
                <w:rFonts w:ascii="Times New Roman" w:hAnsi="Times New Roman"/>
                <w:sz w:val="24"/>
              </w:rPr>
              <w:t>.697</w:t>
            </w:r>
          </w:p>
        </w:tc>
      </w:tr>
      <w:tr>
        <w:tc>
          <w:tcPr>
            <w:tcW w:type="dxa" w:w="1560"/>
          </w:tcPr>
          <w:p>
            <w:pPr>
              <w:spacing w:line="240" w:lineRule="auto"/>
            </w:pPr>
            <w:r>
              <w:rPr>
                <w:rFonts w:ascii="Times New Roman" w:hAnsi="Times New Roman"/>
                <w:sz w:val="24"/>
              </w:rPr>
              <w:t>80 veracity items</w:t>
            </w:r>
          </w:p>
        </w:tc>
        <w:tc>
          <w:tcPr>
            <w:tcW w:type="dxa" w:w="1560"/>
          </w:tcPr>
          <w:p>
            <w:pPr>
              <w:spacing w:line="240" w:lineRule="auto"/>
            </w:pPr>
            <w:r>
              <w:rPr>
                <w:rFonts w:ascii="Times New Roman" w:hAnsi="Times New Roman"/>
                <w:sz w:val="24"/>
              </w:rPr>
              <w:t>.933</w:t>
            </w:r>
          </w:p>
        </w:tc>
        <w:tc>
          <w:tcPr>
            <w:tcW w:type="dxa" w:w="1560"/>
          </w:tcPr>
          <w:p>
            <w:pPr>
              <w:spacing w:line="240" w:lineRule="auto"/>
            </w:pPr>
            <w:r>
              <w:rPr>
                <w:rFonts w:ascii="Times New Roman" w:hAnsi="Times New Roman"/>
                <w:sz w:val="24"/>
              </w:rPr>
              <w:t>.548</w:t>
            </w:r>
          </w:p>
        </w:tc>
        <w:tc>
          <w:tcPr>
            <w:tcW w:type="dxa" w:w="1560"/>
          </w:tcPr>
          <w:p>
            <w:pPr>
              <w:spacing w:line="240" w:lineRule="auto"/>
            </w:pPr>
            <w:r>
              <w:rPr>
                <w:rFonts w:ascii="Times New Roman" w:hAnsi="Times New Roman"/>
                <w:sz w:val="24"/>
              </w:rPr>
              <w:t>.795</w:t>
            </w:r>
          </w:p>
        </w:tc>
        <w:tc>
          <w:tcPr>
            <w:tcW w:type="dxa" w:w="1560"/>
          </w:tcPr>
          <w:p>
            <w:pPr>
              <w:spacing w:line="240" w:lineRule="auto"/>
            </w:pPr>
            <w:r>
              <w:rPr>
                <w:rFonts w:ascii="Times New Roman" w:hAnsi="Times New Roman"/>
                <w:sz w:val="24"/>
              </w:rPr>
              <w:t>.441</w:t>
            </w:r>
          </w:p>
        </w:tc>
        <w:tc>
          <w:tcPr>
            <w:tcW w:type="dxa" w:w="1560"/>
          </w:tcPr>
          <w:p>
            <w:pPr>
              <w:spacing w:line="240" w:lineRule="auto"/>
            </w:pPr>
            <w:r>
              <w:rPr>
                <w:rFonts w:ascii="Times New Roman" w:hAnsi="Times New Roman"/>
                <w:sz w:val="24"/>
              </w:rPr>
              <w:t>.720</w:t>
            </w:r>
          </w:p>
        </w:tc>
      </w:tr>
      <w:tr>
        <w:tc>
          <w:tcPr>
            <w:tcW w:type="dxa" w:w="1560"/>
          </w:tcPr>
          <w:p>
            <w:pPr>
              <w:spacing w:line="240" w:lineRule="auto"/>
            </w:pPr>
            <w:r>
              <w:rPr>
                <w:rFonts w:ascii="Times New Roman" w:hAnsi="Times New Roman"/>
                <w:sz w:val="24"/>
              </w:rPr>
              <w:t>Narrower item difficulty</w:t>
            </w:r>
          </w:p>
        </w:tc>
        <w:tc>
          <w:tcPr>
            <w:tcW w:type="dxa" w:w="1560"/>
          </w:tcPr>
          <w:p>
            <w:pPr>
              <w:spacing w:line="240" w:lineRule="auto"/>
            </w:pPr>
            <w:r>
              <w:rPr>
                <w:rFonts w:ascii="Times New Roman" w:hAnsi="Times New Roman"/>
                <w:sz w:val="24"/>
              </w:rPr>
              <w:t>.907</w:t>
            </w:r>
          </w:p>
        </w:tc>
        <w:tc>
          <w:tcPr>
            <w:tcW w:type="dxa" w:w="1560"/>
          </w:tcPr>
          <w:p>
            <w:pPr>
              <w:spacing w:line="240" w:lineRule="auto"/>
            </w:pPr>
            <w:r>
              <w:rPr>
                <w:rFonts w:ascii="Times New Roman" w:hAnsi="Times New Roman"/>
                <w:sz w:val="24"/>
              </w:rPr>
              <w:t>.571</w:t>
            </w:r>
          </w:p>
        </w:tc>
        <w:tc>
          <w:tcPr>
            <w:tcW w:type="dxa" w:w="1560"/>
          </w:tcPr>
          <w:p>
            <w:pPr>
              <w:spacing w:line="240" w:lineRule="auto"/>
            </w:pPr>
            <w:r>
              <w:rPr>
                <w:rFonts w:ascii="Times New Roman" w:hAnsi="Times New Roman"/>
                <w:sz w:val="24"/>
              </w:rPr>
              <w:t>.836</w:t>
            </w:r>
          </w:p>
        </w:tc>
        <w:tc>
          <w:tcPr>
            <w:tcW w:type="dxa" w:w="1560"/>
          </w:tcPr>
          <w:p>
            <w:pPr>
              <w:spacing w:line="240" w:lineRule="auto"/>
            </w:pPr>
            <w:r>
              <w:rPr>
                <w:rFonts w:ascii="Times New Roman" w:hAnsi="Times New Roman"/>
                <w:sz w:val="24"/>
              </w:rPr>
              <w:t>.338</w:t>
            </w:r>
          </w:p>
        </w:tc>
        <w:tc>
          <w:tcPr>
            <w:tcW w:type="dxa" w:w="1560"/>
          </w:tcPr>
          <w:p>
            <w:pPr>
              <w:spacing w:line="240" w:lineRule="auto"/>
            </w:pPr>
            <w:r>
              <w:rPr>
                <w:rFonts w:ascii="Times New Roman" w:hAnsi="Times New Roman"/>
                <w:sz w:val="24"/>
              </w:rPr>
              <w:t>.740</w:t>
            </w:r>
          </w:p>
        </w:tc>
      </w:tr>
      <w:tr>
        <w:tc>
          <w:tcPr>
            <w:tcW w:type="dxa" w:w="1560"/>
          </w:tcPr>
          <w:p>
            <w:pPr>
              <w:spacing w:line="240" w:lineRule="auto"/>
            </w:pPr>
            <w:r>
              <w:rPr>
                <w:rFonts w:ascii="Times New Roman" w:hAnsi="Times New Roman"/>
                <w:sz w:val="24"/>
              </w:rPr>
              <w:t>Wider item difficulty</w:t>
            </w:r>
          </w:p>
        </w:tc>
        <w:tc>
          <w:tcPr>
            <w:tcW w:type="dxa" w:w="1560"/>
          </w:tcPr>
          <w:p>
            <w:pPr>
              <w:spacing w:line="240" w:lineRule="auto"/>
            </w:pPr>
            <w:r>
              <w:rPr>
                <w:rFonts w:ascii="Times New Roman" w:hAnsi="Times New Roman"/>
                <w:sz w:val="24"/>
              </w:rPr>
              <w:t>.927</w:t>
            </w:r>
          </w:p>
        </w:tc>
        <w:tc>
          <w:tcPr>
            <w:tcW w:type="dxa" w:w="1560"/>
          </w:tcPr>
          <w:p>
            <w:pPr>
              <w:spacing w:line="240" w:lineRule="auto"/>
            </w:pPr>
            <w:r>
              <w:rPr>
                <w:rFonts w:ascii="Times New Roman" w:hAnsi="Times New Roman"/>
                <w:sz w:val="24"/>
              </w:rPr>
              <w:t>.551</w:t>
            </w:r>
          </w:p>
        </w:tc>
        <w:tc>
          <w:tcPr>
            <w:tcW w:type="dxa" w:w="1560"/>
          </w:tcPr>
          <w:p>
            <w:pPr>
              <w:spacing w:line="240" w:lineRule="auto"/>
            </w:pPr>
            <w:r>
              <w:rPr>
                <w:rFonts w:ascii="Times New Roman" w:hAnsi="Times New Roman"/>
                <w:sz w:val="24"/>
              </w:rPr>
              <w:t>.811</w:t>
            </w:r>
          </w:p>
        </w:tc>
        <w:tc>
          <w:tcPr>
            <w:tcW w:type="dxa" w:w="1560"/>
          </w:tcPr>
          <w:p>
            <w:pPr>
              <w:spacing w:line="240" w:lineRule="auto"/>
            </w:pPr>
            <w:r>
              <w:rPr>
                <w:rFonts w:ascii="Times New Roman" w:hAnsi="Times New Roman"/>
                <w:sz w:val="24"/>
              </w:rPr>
              <w:t>.551</w:t>
            </w:r>
          </w:p>
        </w:tc>
        <w:tc>
          <w:tcPr>
            <w:tcW w:type="dxa" w:w="1560"/>
          </w:tcPr>
          <w:p>
            <w:pPr>
              <w:spacing w:line="240" w:lineRule="auto"/>
            </w:pPr>
            <w:r>
              <w:rPr>
                <w:rFonts w:ascii="Times New Roman" w:hAnsi="Times New Roman"/>
                <w:sz w:val="24"/>
              </w:rPr>
              <w:t>.721</w:t>
            </w:r>
          </w:p>
        </w:tc>
      </w:tr>
      <w:tr>
        <w:tc>
          <w:tcPr>
            <w:tcW w:type="dxa" w:w="1560"/>
          </w:tcPr>
          <w:p>
            <w:pPr>
              <w:spacing w:line="240" w:lineRule="auto"/>
            </w:pPr>
            <w:r>
              <w:rPr>
                <w:rFonts w:ascii="Times New Roman" w:hAnsi="Times New Roman"/>
                <w:sz w:val="24"/>
              </w:rPr>
              <w:t>Lower response noise</w:t>
            </w:r>
          </w:p>
        </w:tc>
        <w:tc>
          <w:tcPr>
            <w:tcW w:type="dxa" w:w="1560"/>
          </w:tcPr>
          <w:p>
            <w:pPr>
              <w:spacing w:line="240" w:lineRule="auto"/>
            </w:pPr>
            <w:r>
              <w:rPr>
                <w:rFonts w:ascii="Times New Roman" w:hAnsi="Times New Roman"/>
                <w:sz w:val="24"/>
              </w:rPr>
              <w:t>.899</w:t>
            </w:r>
          </w:p>
        </w:tc>
        <w:tc>
          <w:tcPr>
            <w:tcW w:type="dxa" w:w="1560"/>
          </w:tcPr>
          <w:p>
            <w:pPr>
              <w:spacing w:line="240" w:lineRule="auto"/>
            </w:pPr>
            <w:r>
              <w:rPr>
                <w:rFonts w:ascii="Times New Roman" w:hAnsi="Times New Roman"/>
                <w:sz w:val="24"/>
              </w:rPr>
              <w:t>.531</w:t>
            </w:r>
          </w:p>
        </w:tc>
        <w:tc>
          <w:tcPr>
            <w:tcW w:type="dxa" w:w="1560"/>
          </w:tcPr>
          <w:p>
            <w:pPr>
              <w:spacing w:line="240" w:lineRule="auto"/>
            </w:pPr>
            <w:r>
              <w:rPr>
                <w:rFonts w:ascii="Times New Roman" w:hAnsi="Times New Roman"/>
                <w:sz w:val="24"/>
              </w:rPr>
              <w:t>.834</w:t>
            </w:r>
          </w:p>
        </w:tc>
        <w:tc>
          <w:tcPr>
            <w:tcW w:type="dxa" w:w="1560"/>
          </w:tcPr>
          <w:p>
            <w:pPr>
              <w:spacing w:line="240" w:lineRule="auto"/>
            </w:pPr>
            <w:r>
              <w:rPr>
                <w:rFonts w:ascii="Times New Roman" w:hAnsi="Times New Roman"/>
                <w:sz w:val="24"/>
              </w:rPr>
              <w:t>.264</w:t>
            </w:r>
          </w:p>
        </w:tc>
        <w:tc>
          <w:tcPr>
            <w:tcW w:type="dxa" w:w="1560"/>
          </w:tcPr>
          <w:p>
            <w:pPr>
              <w:spacing w:line="240" w:lineRule="auto"/>
            </w:pPr>
            <w:r>
              <w:rPr>
                <w:rFonts w:ascii="Times New Roman" w:hAnsi="Times New Roman"/>
                <w:sz w:val="24"/>
              </w:rPr>
              <w:t>.736</w:t>
            </w:r>
          </w:p>
        </w:tc>
      </w:tr>
      <w:tr>
        <w:tc>
          <w:tcPr>
            <w:tcW w:type="dxa" w:w="1560"/>
          </w:tcPr>
          <w:p>
            <w:pPr>
              <w:spacing w:line="240" w:lineRule="auto"/>
            </w:pPr>
            <w:r>
              <w:rPr>
                <w:rFonts w:ascii="Times New Roman" w:hAnsi="Times New Roman"/>
                <w:sz w:val="24"/>
              </w:rPr>
              <w:t>Higher response noise</w:t>
            </w:r>
          </w:p>
        </w:tc>
        <w:tc>
          <w:tcPr>
            <w:tcW w:type="dxa" w:w="1560"/>
          </w:tcPr>
          <w:p>
            <w:pPr>
              <w:spacing w:line="240" w:lineRule="auto"/>
            </w:pPr>
            <w:r>
              <w:rPr>
                <w:rFonts w:ascii="Times New Roman" w:hAnsi="Times New Roman"/>
                <w:sz w:val="24"/>
              </w:rPr>
              <w:t>.914</w:t>
            </w:r>
          </w:p>
        </w:tc>
        <w:tc>
          <w:tcPr>
            <w:tcW w:type="dxa" w:w="1560"/>
          </w:tcPr>
          <w:p>
            <w:pPr>
              <w:spacing w:line="240" w:lineRule="auto"/>
            </w:pPr>
            <w:r>
              <w:rPr>
                <w:rFonts w:ascii="Times New Roman" w:hAnsi="Times New Roman"/>
                <w:sz w:val="24"/>
              </w:rPr>
              <w:t>.497</w:t>
            </w:r>
          </w:p>
        </w:tc>
        <w:tc>
          <w:tcPr>
            <w:tcW w:type="dxa" w:w="1560"/>
          </w:tcPr>
          <w:p>
            <w:pPr>
              <w:spacing w:line="240" w:lineRule="auto"/>
            </w:pPr>
            <w:r>
              <w:rPr>
                <w:rFonts w:ascii="Times New Roman" w:hAnsi="Times New Roman"/>
                <w:sz w:val="24"/>
              </w:rPr>
              <w:t>.836</w:t>
            </w:r>
          </w:p>
        </w:tc>
        <w:tc>
          <w:tcPr>
            <w:tcW w:type="dxa" w:w="1560"/>
          </w:tcPr>
          <w:p>
            <w:pPr>
              <w:spacing w:line="240" w:lineRule="auto"/>
            </w:pPr>
            <w:r>
              <w:rPr>
                <w:rFonts w:ascii="Times New Roman" w:hAnsi="Times New Roman"/>
                <w:sz w:val="24"/>
              </w:rPr>
              <w:t>.438</w:t>
            </w:r>
          </w:p>
        </w:tc>
        <w:tc>
          <w:tcPr>
            <w:tcW w:type="dxa" w:w="1560"/>
          </w:tcPr>
          <w:p>
            <w:pPr>
              <w:spacing w:line="240" w:lineRule="auto"/>
            </w:pPr>
            <w:r>
              <w:rPr>
                <w:rFonts w:ascii="Times New Roman" w:hAnsi="Times New Roman"/>
                <w:sz w:val="24"/>
              </w:rPr>
              <w:t>.717</w:t>
            </w:r>
          </w:p>
        </w:tc>
      </w:tr>
      <w:tr>
        <w:tc>
          <w:tcPr>
            <w:tcW w:type="dxa" w:w="1560"/>
          </w:tcPr>
          <w:p>
            <w:pPr>
              <w:spacing w:line="240" w:lineRule="auto"/>
            </w:pPr>
            <w:r>
              <w:rPr>
                <w:rFonts w:ascii="Times New Roman" w:hAnsi="Times New Roman"/>
                <w:sz w:val="24"/>
              </w:rPr>
              <w:t>Lower carelessness</w:t>
            </w:r>
          </w:p>
        </w:tc>
        <w:tc>
          <w:tcPr>
            <w:tcW w:type="dxa" w:w="1560"/>
          </w:tcPr>
          <w:p>
            <w:pPr>
              <w:spacing w:line="240" w:lineRule="auto"/>
            </w:pPr>
            <w:r>
              <w:rPr>
                <w:rFonts w:ascii="Times New Roman" w:hAnsi="Times New Roman"/>
                <w:sz w:val="24"/>
              </w:rPr>
              <w:t>.936</w:t>
            </w:r>
          </w:p>
        </w:tc>
        <w:tc>
          <w:tcPr>
            <w:tcW w:type="dxa" w:w="1560"/>
          </w:tcPr>
          <w:p>
            <w:pPr>
              <w:spacing w:line="240" w:lineRule="auto"/>
            </w:pPr>
            <w:r>
              <w:rPr>
                <w:rFonts w:ascii="Times New Roman" w:hAnsi="Times New Roman"/>
                <w:sz w:val="24"/>
              </w:rPr>
              <w:t>.543</w:t>
            </w:r>
          </w:p>
        </w:tc>
        <w:tc>
          <w:tcPr>
            <w:tcW w:type="dxa" w:w="1560"/>
          </w:tcPr>
          <w:p>
            <w:pPr>
              <w:spacing w:line="240" w:lineRule="auto"/>
            </w:pPr>
            <w:r>
              <w:rPr>
                <w:rFonts w:ascii="Times New Roman" w:hAnsi="Times New Roman"/>
                <w:sz w:val="24"/>
              </w:rPr>
              <w:t>.843</w:t>
            </w:r>
          </w:p>
        </w:tc>
        <w:tc>
          <w:tcPr>
            <w:tcW w:type="dxa" w:w="1560"/>
          </w:tcPr>
          <w:p>
            <w:pPr>
              <w:spacing w:line="240" w:lineRule="auto"/>
            </w:pPr>
            <w:r>
              <w:rPr>
                <w:rFonts w:ascii="Times New Roman" w:hAnsi="Times New Roman"/>
                <w:sz w:val="24"/>
              </w:rPr>
              <w:t>.423</w:t>
            </w:r>
          </w:p>
        </w:tc>
        <w:tc>
          <w:tcPr>
            <w:tcW w:type="dxa" w:w="1560"/>
          </w:tcPr>
          <w:p>
            <w:pPr>
              <w:spacing w:line="240" w:lineRule="auto"/>
            </w:pPr>
            <w:r>
              <w:rPr>
                <w:rFonts w:ascii="Times New Roman" w:hAnsi="Times New Roman"/>
                <w:sz w:val="24"/>
              </w:rPr>
              <w:t>.748</w:t>
            </w:r>
          </w:p>
        </w:tc>
      </w:tr>
      <w:tr>
        <w:tc>
          <w:tcPr>
            <w:tcW w:type="dxa" w:w="1560"/>
          </w:tcPr>
          <w:p>
            <w:pPr>
              <w:spacing w:line="240" w:lineRule="auto"/>
            </w:pPr>
            <w:r>
              <w:rPr>
                <w:rFonts w:ascii="Times New Roman" w:hAnsi="Times New Roman"/>
                <w:sz w:val="24"/>
              </w:rPr>
              <w:t>Higher carelessness</w:t>
            </w:r>
          </w:p>
        </w:tc>
        <w:tc>
          <w:tcPr>
            <w:tcW w:type="dxa" w:w="1560"/>
          </w:tcPr>
          <w:p>
            <w:pPr>
              <w:spacing w:line="240" w:lineRule="auto"/>
            </w:pPr>
            <w:r>
              <w:rPr>
                <w:rFonts w:ascii="Times New Roman" w:hAnsi="Times New Roman"/>
                <w:sz w:val="24"/>
              </w:rPr>
              <w:t>.871</w:t>
            </w:r>
          </w:p>
        </w:tc>
        <w:tc>
          <w:tcPr>
            <w:tcW w:type="dxa" w:w="1560"/>
          </w:tcPr>
          <w:p>
            <w:pPr>
              <w:spacing w:line="240" w:lineRule="auto"/>
            </w:pPr>
            <w:r>
              <w:rPr>
                <w:rFonts w:ascii="Times New Roman" w:hAnsi="Times New Roman"/>
                <w:sz w:val="24"/>
              </w:rPr>
              <w:t>.490</w:t>
            </w:r>
          </w:p>
        </w:tc>
        <w:tc>
          <w:tcPr>
            <w:tcW w:type="dxa" w:w="1560"/>
          </w:tcPr>
          <w:p>
            <w:pPr>
              <w:spacing w:line="240" w:lineRule="auto"/>
            </w:pPr>
            <w:r>
              <w:rPr>
                <w:rFonts w:ascii="Times New Roman" w:hAnsi="Times New Roman"/>
                <w:sz w:val="24"/>
              </w:rPr>
              <w:t>.785</w:t>
            </w:r>
          </w:p>
        </w:tc>
        <w:tc>
          <w:tcPr>
            <w:tcW w:type="dxa" w:w="1560"/>
          </w:tcPr>
          <w:p>
            <w:pPr>
              <w:spacing w:line="240" w:lineRule="auto"/>
            </w:pPr>
            <w:r>
              <w:rPr>
                <w:rFonts w:ascii="Times New Roman" w:hAnsi="Times New Roman"/>
                <w:sz w:val="24"/>
              </w:rPr>
              <w:t>.398</w:t>
            </w:r>
          </w:p>
        </w:tc>
        <w:tc>
          <w:tcPr>
            <w:tcW w:type="dxa" w:w="1560"/>
          </w:tcPr>
          <w:p>
            <w:pPr>
              <w:spacing w:line="240" w:lineRule="auto"/>
            </w:pPr>
            <w:r>
              <w:rPr>
                <w:rFonts w:ascii="Times New Roman" w:hAnsi="Times New Roman"/>
                <w:sz w:val="24"/>
              </w:rPr>
              <w:t>.684</w:t>
            </w:r>
          </w:p>
        </w:tc>
      </w:tr>
      <w:tr>
        <w:tc>
          <w:tcPr>
            <w:tcW w:type="dxa" w:w="1560"/>
          </w:tcPr>
          <w:p>
            <w:pPr>
              <w:spacing w:line="240" w:lineRule="auto"/>
            </w:pPr>
            <w:r>
              <w:rPr>
                <w:rFonts w:ascii="Times New Roman" w:hAnsi="Times New Roman"/>
                <w:sz w:val="24"/>
              </w:rPr>
              <w:t>Weaker latent correlation</w:t>
            </w:r>
          </w:p>
        </w:tc>
        <w:tc>
          <w:tcPr>
            <w:tcW w:type="dxa" w:w="1560"/>
          </w:tcPr>
          <w:p>
            <w:pPr>
              <w:spacing w:line="240" w:lineRule="auto"/>
            </w:pPr>
            <w:r>
              <w:rPr>
                <w:rFonts w:ascii="Times New Roman" w:hAnsi="Times New Roman"/>
                <w:sz w:val="24"/>
              </w:rPr>
              <w:t>.901</w:t>
            </w:r>
          </w:p>
        </w:tc>
        <w:tc>
          <w:tcPr>
            <w:tcW w:type="dxa" w:w="1560"/>
          </w:tcPr>
          <w:p>
            <w:pPr>
              <w:spacing w:line="240" w:lineRule="auto"/>
            </w:pPr>
            <w:r>
              <w:rPr>
                <w:rFonts w:ascii="Times New Roman" w:hAnsi="Times New Roman"/>
                <w:sz w:val="24"/>
              </w:rPr>
              <w:t>.550</w:t>
            </w:r>
          </w:p>
        </w:tc>
        <w:tc>
          <w:tcPr>
            <w:tcW w:type="dxa" w:w="1560"/>
          </w:tcPr>
          <w:p>
            <w:pPr>
              <w:spacing w:line="240" w:lineRule="auto"/>
            </w:pPr>
            <w:r>
              <w:rPr>
                <w:rFonts w:ascii="Times New Roman" w:hAnsi="Times New Roman"/>
                <w:sz w:val="24"/>
              </w:rPr>
              <w:t>.778</w:t>
            </w:r>
          </w:p>
        </w:tc>
        <w:tc>
          <w:tcPr>
            <w:tcW w:type="dxa" w:w="1560"/>
          </w:tcPr>
          <w:p>
            <w:pPr>
              <w:spacing w:line="240" w:lineRule="auto"/>
            </w:pPr>
            <w:r>
              <w:rPr>
                <w:rFonts w:ascii="Times New Roman" w:hAnsi="Times New Roman"/>
                <w:sz w:val="24"/>
              </w:rPr>
              <w:t>.392</w:t>
            </w:r>
          </w:p>
        </w:tc>
        <w:tc>
          <w:tcPr>
            <w:tcW w:type="dxa" w:w="1560"/>
          </w:tcPr>
          <w:p>
            <w:pPr>
              <w:spacing w:line="240" w:lineRule="auto"/>
            </w:pPr>
            <w:r>
              <w:rPr>
                <w:rFonts w:ascii="Times New Roman" w:hAnsi="Times New Roman"/>
                <w:sz w:val="24"/>
              </w:rPr>
              <w:t>.710</w:t>
            </w:r>
          </w:p>
        </w:tc>
      </w:tr>
      <w:tr>
        <w:tc>
          <w:tcPr>
            <w:tcW w:type="dxa" w:w="1560"/>
          </w:tcPr>
          <w:p>
            <w:pPr>
              <w:spacing w:line="240" w:lineRule="auto"/>
            </w:pPr>
            <w:r>
              <w:rPr>
                <w:rFonts w:ascii="Times New Roman" w:hAnsi="Times New Roman"/>
                <w:sz w:val="24"/>
              </w:rPr>
              <w:t>Moderately weaker latent correlation</w:t>
            </w:r>
          </w:p>
        </w:tc>
        <w:tc>
          <w:tcPr>
            <w:tcW w:type="dxa" w:w="1560"/>
          </w:tcPr>
          <w:p>
            <w:pPr>
              <w:spacing w:line="240" w:lineRule="auto"/>
            </w:pPr>
            <w:r>
              <w:rPr>
                <w:rFonts w:ascii="Times New Roman" w:hAnsi="Times New Roman"/>
                <w:sz w:val="24"/>
              </w:rPr>
              <w:t>.909</w:t>
            </w:r>
          </w:p>
        </w:tc>
        <w:tc>
          <w:tcPr>
            <w:tcW w:type="dxa" w:w="1560"/>
          </w:tcPr>
          <w:p>
            <w:pPr>
              <w:spacing w:line="240" w:lineRule="auto"/>
            </w:pPr>
            <w:r>
              <w:rPr>
                <w:rFonts w:ascii="Times New Roman" w:hAnsi="Times New Roman"/>
                <w:sz w:val="24"/>
              </w:rPr>
              <w:t>.562</w:t>
            </w:r>
          </w:p>
        </w:tc>
        <w:tc>
          <w:tcPr>
            <w:tcW w:type="dxa" w:w="1560"/>
          </w:tcPr>
          <w:p>
            <w:pPr>
              <w:spacing w:line="240" w:lineRule="auto"/>
            </w:pPr>
            <w:r>
              <w:rPr>
                <w:rFonts w:ascii="Times New Roman" w:hAnsi="Times New Roman"/>
                <w:sz w:val="24"/>
              </w:rPr>
              <w:t>.810</w:t>
            </w:r>
          </w:p>
        </w:tc>
        <w:tc>
          <w:tcPr>
            <w:tcW w:type="dxa" w:w="1560"/>
          </w:tcPr>
          <w:p>
            <w:pPr>
              <w:spacing w:line="240" w:lineRule="auto"/>
            </w:pPr>
            <w:r>
              <w:rPr>
                <w:rFonts w:ascii="Times New Roman" w:hAnsi="Times New Roman"/>
                <w:sz w:val="24"/>
              </w:rPr>
              <w:t>.394</w:t>
            </w:r>
          </w:p>
        </w:tc>
        <w:tc>
          <w:tcPr>
            <w:tcW w:type="dxa" w:w="1560"/>
          </w:tcPr>
          <w:p>
            <w:pPr>
              <w:spacing w:line="240" w:lineRule="auto"/>
            </w:pPr>
            <w:r>
              <w:rPr>
                <w:rFonts w:ascii="Times New Roman" w:hAnsi="Times New Roman"/>
                <w:sz w:val="24"/>
              </w:rPr>
              <w:t>.713</w:t>
            </w:r>
          </w:p>
        </w:tc>
      </w:tr>
    </w:tbl>
    <w:p/>
    <w:p>
      <w:pPr>
        <w:ind w:firstLine="720"/>
      </w:pPr>
      <w:r>
        <w:rPr>
          <w:rFonts w:ascii="Times New Roman" w:hAnsi="Times New Roman"/>
          <w:i/>
          <w:sz w:val="24"/>
        </w:rPr>
        <w:t>Note.</w:t>
      </w:r>
      <w:r>
        <w:rPr>
          <w:rFonts w:ascii="Times New Roman" w:hAnsi="Times New Roman"/>
          <w:sz w:val="24"/>
        </w:rPr>
        <w:t xml:space="preserve"> Full results, including the corresponding V1 (pre-redesign) sweep, are available in `studies/study_00_simulation/monte_carlo_results.csv` and `docs/project_status.md`.</w:t>
      </w:r>
    </w:p>
    <w:p>
      <w:pPr>
        <w:spacing w:before="240"/>
        <w:jc w:val="center"/>
      </w:pPr>
      <w:r>
        <w:rPr>
          <w:rFonts w:ascii="Times New Roman" w:hAnsi="Times New Roman"/>
          <w:b/>
          <w:sz w:val="24"/>
        </w:rPr>
        <w:t>Discussion</w:t>
      </w:r>
    </w:p>
    <w:p>
      <w:pPr>
        <w:spacing w:before="240"/>
      </w:pPr>
      <w:r>
        <w:rPr>
          <w:rFonts w:ascii="Times New Roman" w:hAnsi="Times New Roman"/>
          <w:b/>
          <w:sz w:val="24"/>
        </w:rPr>
        <w:t>Principal Findings</w:t>
      </w:r>
    </w:p>
    <w:p>
      <w:pPr>
        <w:ind w:firstLine="720"/>
      </w:pPr>
      <w:r>
        <w:rPr>
          <w:rFonts w:ascii="Times New Roman" w:hAnsi="Times New Roman"/>
          <w:sz w:val="24"/>
        </w:rPr>
        <w:t>Five of seven proposed dimensions now have a working item-level measurement approach that recovers the intended hidden trait with reasonable to strong accuracy, stably across a range of sample sizes, item counts, item difficulties, response noise levels, carelessness rates, and latent correlation strengths. Discernment, verification competence, and (after redesign) evidence-evaluation ability were the most strongly and stably recovered. Response bias and belief updating were recovered less strongly but not unstably.</w:t>
      </w:r>
    </w:p>
    <w:p>
      <w:pPr>
        <w:spacing w:before="240"/>
      </w:pPr>
      <w:r>
        <w:rPr>
          <w:rFonts w:ascii="Times New Roman" w:hAnsi="Times New Roman"/>
          <w:b/>
          <w:sz w:val="24"/>
        </w:rPr>
        <w:t>The Evidence-Evaluation Case Study</w:t>
      </w:r>
    </w:p>
    <w:p>
      <w:pPr>
        <w:ind w:firstLine="720"/>
      </w:pPr>
      <w:r>
        <w:rPr>
          <w:rFonts w:ascii="Times New Roman" w:hAnsi="Times New Roman"/>
          <w:sz w:val="24"/>
        </w:rPr>
        <w:t>The most informative result in this study is arguably the contrast between the V1 and V1.2 evidence-evaluation models rather than either result in isolation. In V1, evidence comprehension existed only as an internal process variable that the belief-movement calculation used but never exposed as an observable response — essentially, no real assessment could ever have measured it, because it was never something a participant did or said. Its poor, sign-unstable recovery could easily have been (mis)read as evidence that evidence-evaluation ability is not a coherent, separable construct. Once evidence comprehension was operationalized as an explicit, observable comprehension-check response and modeled the same way verification ability already was, recovery became strong and stable. This suggests that at least some of the difficulty other researchers have had in operationalizing evidence-evaluation or evidence-interpretation constructs may be a measurement-design problem rather than a construct-validity problem, though this synthetic result cannot by itself establish which explanation applies to real human data.</w:t>
      </w:r>
    </w:p>
    <w:p>
      <w:pPr>
        <w:ind w:firstLine="720"/>
      </w:pPr>
      <w:r>
        <w:rPr>
          <w:rFonts w:ascii="Times New Roman" w:hAnsi="Times New Roman"/>
          <w:sz w:val="24"/>
        </w:rPr>
        <w:t>A related methodological finding concerns the updating model. Because comprehension and updating are correlated in the generating model, entering the raw per-trial comprehension response as a single fixed effect in the belief-movement model suppressed the updating estimate — a within/between-cluster conflation familiar from the multilevel-modeling literature. Group-mean centering the comprehension predictor (a Mundlak-style decomposition) resolved this. We flag this because the same conflation risk will apply directly to any future human study that measures comprehension and updating from the same items.</w:t>
      </w:r>
    </w:p>
    <w:p>
      <w:pPr>
        <w:spacing w:before="240"/>
      </w:pPr>
      <w:r>
        <w:rPr>
          <w:rFonts w:ascii="Times New Roman" w:hAnsi="Times New Roman"/>
          <w:b/>
          <w:sz w:val="24"/>
        </w:rPr>
        <w:t>Limitations</w:t>
      </w:r>
    </w:p>
    <w:p>
      <w:pPr>
        <w:ind w:firstLine="720"/>
      </w:pPr>
      <w:r>
        <w:rPr>
          <w:rFonts w:ascii="Times New Roman" w:hAnsi="Times New Roman"/>
          <w:sz w:val="24"/>
        </w:rPr>
        <w:t>This is a synthetic, programmed data-generating process; none of these results are evidence of construct validity in real people, and none of the correlations reported here should be interpreted as effect sizes expected in human data. The Monte Carlo sweep is a one-factor-at-a-time design with a single simulated replicate per condition, not a fully replicated design with repeated-sampling variability estimated at each condition. Updating recovery remains the most modest of the five dimensions; whether this reflects a genuine ceiling on how much independent signal belief-revision quality carries once comprehension and evidence strength are accounted for, or whether it reflects that a single initial-judgment/correction/post-judgment cycle per item is a thin design, cannot be determined from this study alone.</w:t>
      </w:r>
    </w:p>
    <w:p>
      <w:pPr>
        <w:spacing w:before="240"/>
      </w:pPr>
      <w:r>
        <w:rPr>
          <w:rFonts w:ascii="Times New Roman" w:hAnsi="Times New Roman"/>
          <w:b/>
          <w:sz w:val="24"/>
        </w:rPr>
        <w:t>Future Directions</w:t>
      </w:r>
    </w:p>
    <w:p>
      <w:pPr>
        <w:ind w:firstLine="720"/>
      </w:pPr>
      <w:r>
        <w:rPr>
          <w:rFonts w:ascii="Times New Roman" w:hAnsi="Times New Roman"/>
          <w:sz w:val="24"/>
        </w:rPr>
        <w:t>The logical next step is human item development (Study 1), informed by a still-to-be-verified literature synthesis (`docs/literature_review.md`) that identifies the Misinformation Susceptibility Test as the primary existing convergent-validity anchor and the lateral-reading and continued- influence-effect literatures as templates for verification and updating item design, respectively. Subsequent stages (Study 2: human psychometric validation; Study 3: predictive validity; Study 4: applied/intervention work) are outlined in `docs/research_roadmap.md` and `docs/project_status.md`.</w:t>
      </w:r>
    </w:p>
    <w:p>
      <w:pPr>
        <w:spacing w:before="240"/>
      </w:pPr>
      <w:r>
        <w:rPr>
          <w:rFonts w:ascii="Times New Roman" w:hAnsi="Times New Roman"/>
          <w:b/>
          <w:sz w:val="24"/>
        </w:rPr>
        <w:t>Conclusion</w:t>
      </w:r>
    </w:p>
    <w:p>
      <w:pPr>
        <w:ind w:firstLine="720"/>
      </w:pPr>
      <w:r>
        <w:rPr>
          <w:rFonts w:ascii="Times New Roman" w:hAnsi="Times New Roman"/>
          <w:sz w:val="24"/>
        </w:rPr>
        <w:t>A fully synthetic, blind-analysis benchmark showed that five proposed dimensions of misinformation vulnerability — discernment, response bias, verification competence, evidence-evaluation ability, and belief updating — can be recovered from simulated behavioral responses using item-level statistical models, and that this recovery is stable across a range of sample sizes and data-generating conditions. The initially poor recovery of evidence-evaluation ability was traced to a specific, fixable flaw in how that construct was operationalized, rather than to the construct itself, and was resolved by making evidence comprehension a directly observable response. This benchmark does not establish construct validity in humans, but it provides methodological justification, and a documented set of design lessons, for proceeding to human item development.</w:t>
      </w:r>
    </w:p>
    <w:p>
      <w:r>
        <w:br w:type="page"/>
      </w:r>
    </w:p>
    <w:p>
      <w:pPr>
        <w:spacing w:before="240"/>
        <w:jc w:val="center"/>
      </w:pPr>
      <w:r>
        <w:rPr>
          <w:rFonts w:ascii="Times New Roman" w:hAnsi="Times New Roman"/>
          <w:b/>
          <w:sz w:val="24"/>
        </w:rPr>
        <w:t>References</w:t>
      </w:r>
    </w:p>
    <w:p>
      <w:pPr>
        <w:ind w:firstLine="720"/>
      </w:pPr>
      <w:r>
        <w:rPr>
          <w:rFonts w:ascii="Times New Roman" w:hAnsi="Times New Roman"/>
          <w:i/>
          <w:sz w:val="24"/>
        </w:rPr>
        <w:t>The following entries are drawn from the author's general domain knowledge and are marked [VERIFY]; each must be confirmed against the original source before this reference list is relied upon externally.</w:t>
      </w:r>
    </w:p>
    <w:p>
      <w:pPr>
        <w:ind w:firstLine="720"/>
      </w:pPr>
      <w:r>
        <w:rPr>
          <w:rFonts w:ascii="Times New Roman" w:hAnsi="Times New Roman"/>
          <w:sz w:val="24"/>
        </w:rPr>
        <w:t xml:space="preserve">American Educational Research Association, American Psychological Association, &amp; National Council on Measurement in Education. (2014). </w:t>
      </w:r>
      <w:r>
        <w:rPr>
          <w:rFonts w:ascii="Times New Roman" w:hAnsi="Times New Roman"/>
          <w:i/>
          <w:sz w:val="24"/>
        </w:rPr>
        <w:t>Standards for educational and psychological testing</w:t>
      </w:r>
      <w:r>
        <w:rPr>
          <w:rFonts w:ascii="Times New Roman" w:hAnsi="Times New Roman"/>
          <w:sz w:val="24"/>
        </w:rPr>
        <w:t xml:space="preserve">. American Educational Research Association. </w:t>
      </w:r>
      <w:r>
        <w:rPr>
          <w:rFonts w:ascii="Times New Roman" w:hAnsi="Times New Roman"/>
          <w:b/>
          <w:sz w:val="24"/>
        </w:rPr>
        <w:t>[VERIFY]</w:t>
      </w:r>
    </w:p>
    <w:p>
      <w:pPr>
        <w:ind w:left="720" w:hanging="720"/>
      </w:pPr>
      <w:r>
        <w:rPr>
          <w:rFonts w:ascii="Times New Roman" w:hAnsi="Times New Roman"/>
          <w:sz w:val="24"/>
        </w:rPr>
        <w:t xml:space="preserve">Batailler, C., Brannon, S. M., Teas, P. E., &amp; Gawronski, B. (2022). A signal detection approach to understanding the identification of fake news. </w:t>
      </w:r>
      <w:r>
        <w:rPr>
          <w:rFonts w:ascii="Times New Roman" w:hAnsi="Times New Roman"/>
          <w:i/>
          <w:sz w:val="24"/>
        </w:rPr>
        <w:t>Perspectives on Psychological Science</w:t>
      </w:r>
      <w:r>
        <w:rPr>
          <w:rFonts w:ascii="Times New Roman" w:hAnsi="Times New Roman"/>
          <w:sz w:val="24"/>
        </w:rPr>
        <w:t xml:space="preserve">, </w:t>
      </w:r>
      <w:r>
        <w:rPr>
          <w:rFonts w:ascii="Times New Roman" w:hAnsi="Times New Roman"/>
          <w:i/>
          <w:sz w:val="24"/>
        </w:rPr>
        <w:t>17</w:t>
      </w:r>
      <w:r>
        <w:rPr>
          <w:rFonts w:ascii="Times New Roman" w:hAnsi="Times New Roman"/>
          <w:sz w:val="24"/>
        </w:rPr>
        <w:t xml:space="preserve">(1), 78–98. </w:t>
      </w:r>
      <w:r>
        <w:rPr>
          <w:rFonts w:ascii="Times New Roman" w:hAnsi="Times New Roman"/>
          <w:b/>
          <w:sz w:val="24"/>
        </w:rPr>
        <w:t>[VERIFY]</w:t>
      </w:r>
    </w:p>
    <w:p>
      <w:pPr>
        <w:ind w:left="720" w:hanging="720"/>
      </w:pPr>
      <w:r>
        <w:rPr>
          <w:rFonts w:ascii="Times New Roman" w:hAnsi="Times New Roman"/>
          <w:sz w:val="24"/>
        </w:rPr>
        <w:t xml:space="preserve">Frederick, S. (2005). Cognitive reflection and decision making. </w:t>
      </w:r>
      <w:r>
        <w:rPr>
          <w:rFonts w:ascii="Times New Roman" w:hAnsi="Times New Roman"/>
          <w:i/>
          <w:sz w:val="24"/>
        </w:rPr>
        <w:t>Journal of Economic Perspectives</w:t>
      </w:r>
      <w:r>
        <w:rPr>
          <w:rFonts w:ascii="Times New Roman" w:hAnsi="Times New Roman"/>
          <w:sz w:val="24"/>
        </w:rPr>
        <w:t xml:space="preserve">, </w:t>
      </w:r>
      <w:r>
        <w:rPr>
          <w:rFonts w:ascii="Times New Roman" w:hAnsi="Times New Roman"/>
          <w:i/>
          <w:sz w:val="24"/>
        </w:rPr>
        <w:t>19</w:t>
      </w:r>
      <w:r>
        <w:rPr>
          <w:rFonts w:ascii="Times New Roman" w:hAnsi="Times New Roman"/>
          <w:sz w:val="24"/>
        </w:rPr>
        <w:t xml:space="preserve">(4), 25–42. </w:t>
      </w:r>
      <w:r>
        <w:rPr>
          <w:rFonts w:ascii="Times New Roman" w:hAnsi="Times New Roman"/>
          <w:b/>
          <w:sz w:val="24"/>
        </w:rPr>
        <w:t>[VERIFY]</w:t>
      </w:r>
    </w:p>
    <w:p>
      <w:pPr>
        <w:ind w:left="720" w:hanging="720"/>
      </w:pPr>
      <w:r>
        <w:rPr>
          <w:rFonts w:ascii="Times New Roman" w:hAnsi="Times New Roman"/>
          <w:sz w:val="24"/>
        </w:rPr>
        <w:t xml:space="preserve">Johnson, H. M., &amp; Seifert, C. M. (1994). Sources of the continued influence effect: When misinformation in memory affects later inferences. </w:t>
      </w:r>
      <w:r>
        <w:rPr>
          <w:rFonts w:ascii="Times New Roman" w:hAnsi="Times New Roman"/>
          <w:i/>
          <w:sz w:val="24"/>
        </w:rPr>
        <w:t>Journal of Experimental Psychology: Learning, Memory, and Cognition</w:t>
      </w:r>
      <w:r>
        <w:rPr>
          <w:rFonts w:ascii="Times New Roman" w:hAnsi="Times New Roman"/>
          <w:sz w:val="24"/>
        </w:rPr>
        <w:t xml:space="preserve">, </w:t>
      </w:r>
      <w:r>
        <w:rPr>
          <w:rFonts w:ascii="Times New Roman" w:hAnsi="Times New Roman"/>
          <w:i/>
          <w:sz w:val="24"/>
        </w:rPr>
        <w:t>20</w:t>
      </w:r>
      <w:r>
        <w:rPr>
          <w:rFonts w:ascii="Times New Roman" w:hAnsi="Times New Roman"/>
          <w:sz w:val="24"/>
        </w:rPr>
        <w:t xml:space="preserve">(6), 1420–1436. </w:t>
      </w:r>
      <w:r>
        <w:rPr>
          <w:rFonts w:ascii="Times New Roman" w:hAnsi="Times New Roman"/>
          <w:b/>
          <w:sz w:val="24"/>
        </w:rPr>
        <w:t>[VERIFY]</w:t>
      </w:r>
    </w:p>
    <w:p>
      <w:pPr>
        <w:ind w:left="720" w:hanging="720"/>
      </w:pPr>
      <w:r>
        <w:rPr>
          <w:rFonts w:ascii="Times New Roman" w:hAnsi="Times New Roman"/>
          <w:sz w:val="24"/>
        </w:rPr>
        <w:t xml:space="preserve">Lewandowsky, S., Ecker, U. K. H., Seifert, C. M., Schwarz, N., &amp; Cook, J. (2012). Misinformation and its correction: Continued influence and successful debiasing. </w:t>
      </w:r>
      <w:r>
        <w:rPr>
          <w:rFonts w:ascii="Times New Roman" w:hAnsi="Times New Roman"/>
          <w:i/>
          <w:sz w:val="24"/>
        </w:rPr>
        <w:t>Psychological Science in the Public Interest</w:t>
      </w:r>
      <w:r>
        <w:rPr>
          <w:rFonts w:ascii="Times New Roman" w:hAnsi="Times New Roman"/>
          <w:sz w:val="24"/>
        </w:rPr>
        <w:t xml:space="preserve">, </w:t>
      </w:r>
      <w:r>
        <w:rPr>
          <w:rFonts w:ascii="Times New Roman" w:hAnsi="Times New Roman"/>
          <w:i/>
          <w:sz w:val="24"/>
        </w:rPr>
        <w:t>13</w:t>
      </w:r>
      <w:r>
        <w:rPr>
          <w:rFonts w:ascii="Times New Roman" w:hAnsi="Times New Roman"/>
          <w:sz w:val="24"/>
        </w:rPr>
        <w:t xml:space="preserve">(3), 106–131. </w:t>
      </w:r>
      <w:r>
        <w:rPr>
          <w:rFonts w:ascii="Times New Roman" w:hAnsi="Times New Roman"/>
          <w:b/>
          <w:sz w:val="24"/>
        </w:rPr>
        <w:t>[VERIFY]</w:t>
      </w:r>
    </w:p>
    <w:p>
      <w:pPr>
        <w:ind w:left="720" w:hanging="720"/>
      </w:pPr>
      <w:r>
        <w:rPr>
          <w:rFonts w:ascii="Times New Roman" w:hAnsi="Times New Roman"/>
          <w:sz w:val="24"/>
        </w:rPr>
        <w:t xml:space="preserve">Maertens, R., Götz, F. M., Golino, H. F., Roozenbeek, J., Schneider, C. R., Kyrychenko, Y., Kerr, J. R., Stieger, S., McClanahan, W. P., Drobnjak, J., Basol, M., Uenal, F., Rathje, S., &amp; van der Linden, S. (2024). The Misinformation Susceptibility Test (MIST): A psychometrically validated measure of news veracity discernment. </w:t>
      </w:r>
      <w:r>
        <w:rPr>
          <w:rFonts w:ascii="Times New Roman" w:hAnsi="Times New Roman"/>
          <w:i/>
          <w:sz w:val="24"/>
        </w:rPr>
        <w:t>Behavior Research Methods</w:t>
      </w:r>
      <w:r>
        <w:rPr>
          <w:rFonts w:ascii="Times New Roman" w:hAnsi="Times New Roman"/>
          <w:sz w:val="24"/>
        </w:rPr>
        <w:t xml:space="preserve">, </w:t>
      </w:r>
      <w:r>
        <w:rPr>
          <w:rFonts w:ascii="Times New Roman" w:hAnsi="Times New Roman"/>
          <w:i/>
          <w:sz w:val="24"/>
        </w:rPr>
        <w:t>56</w:t>
      </w:r>
      <w:r>
        <w:rPr>
          <w:rFonts w:ascii="Times New Roman" w:hAnsi="Times New Roman"/>
          <w:sz w:val="24"/>
        </w:rPr>
        <w:t xml:space="preserve">(3), 1863–1899. </w:t>
      </w:r>
      <w:r>
        <w:rPr>
          <w:rFonts w:ascii="Times New Roman" w:hAnsi="Times New Roman"/>
          <w:b/>
          <w:sz w:val="24"/>
        </w:rPr>
        <w:t>[VERIFY]</w:t>
      </w:r>
    </w:p>
    <w:p>
      <w:pPr>
        <w:ind w:left="720" w:hanging="720"/>
      </w:pPr>
      <w:r>
        <w:rPr>
          <w:rFonts w:ascii="Times New Roman" w:hAnsi="Times New Roman"/>
          <w:sz w:val="24"/>
        </w:rPr>
        <w:t xml:space="preserve">Pennycook, G., Epstein, Z., Mosleh, M., Arechar, A. A., Eckles, D., &amp; Rand, D. G. (2021). Shifting attention to accuracy can reduce misinformation online. </w:t>
      </w:r>
      <w:r>
        <w:rPr>
          <w:rFonts w:ascii="Times New Roman" w:hAnsi="Times New Roman"/>
          <w:i/>
          <w:sz w:val="24"/>
        </w:rPr>
        <w:t>Nature</w:t>
      </w:r>
      <w:r>
        <w:rPr>
          <w:rFonts w:ascii="Times New Roman" w:hAnsi="Times New Roman"/>
          <w:sz w:val="24"/>
        </w:rPr>
        <w:t xml:space="preserve">, </w:t>
      </w:r>
      <w:r>
        <w:rPr>
          <w:rFonts w:ascii="Times New Roman" w:hAnsi="Times New Roman"/>
          <w:i/>
          <w:sz w:val="24"/>
        </w:rPr>
        <w:t>592</w:t>
      </w:r>
      <w:r>
        <w:rPr>
          <w:rFonts w:ascii="Times New Roman" w:hAnsi="Times New Roman"/>
          <w:sz w:val="24"/>
        </w:rPr>
        <w:t xml:space="preserve">(7855), 590–595. </w:t>
      </w:r>
      <w:r>
        <w:rPr>
          <w:rFonts w:ascii="Times New Roman" w:hAnsi="Times New Roman"/>
          <w:b/>
          <w:sz w:val="24"/>
        </w:rPr>
        <w:t>[VERIFY]</w:t>
      </w:r>
    </w:p>
    <w:p>
      <w:pPr>
        <w:ind w:left="720" w:hanging="720"/>
      </w:pPr>
      <w:r>
        <w:rPr>
          <w:rFonts w:ascii="Times New Roman" w:hAnsi="Times New Roman"/>
          <w:sz w:val="24"/>
        </w:rPr>
        <w:t xml:space="preserve">Pennycook, G., &amp; Rand, D. G. (2019). Lazy, not biased: Susceptibility to partisan fake news is better explained by lack of reasoning than by motivated reasoning. </w:t>
      </w:r>
      <w:r>
        <w:rPr>
          <w:rFonts w:ascii="Times New Roman" w:hAnsi="Times New Roman"/>
          <w:i/>
          <w:sz w:val="24"/>
        </w:rPr>
        <w:t>Cognition</w:t>
      </w:r>
      <w:r>
        <w:rPr>
          <w:rFonts w:ascii="Times New Roman" w:hAnsi="Times New Roman"/>
          <w:sz w:val="24"/>
        </w:rPr>
        <w:t xml:space="preserve">, </w:t>
      </w:r>
      <w:r>
        <w:rPr>
          <w:rFonts w:ascii="Times New Roman" w:hAnsi="Times New Roman"/>
          <w:i/>
          <w:sz w:val="24"/>
        </w:rPr>
        <w:t>188</w:t>
      </w:r>
      <w:r>
        <w:rPr>
          <w:rFonts w:ascii="Times New Roman" w:hAnsi="Times New Roman"/>
          <w:sz w:val="24"/>
        </w:rPr>
        <w:t xml:space="preserve">, 39–50. </w:t>
      </w:r>
      <w:r>
        <w:rPr>
          <w:rFonts w:ascii="Times New Roman" w:hAnsi="Times New Roman"/>
          <w:b/>
          <w:sz w:val="24"/>
        </w:rPr>
        <w:t>[VERIFY]</w:t>
      </w:r>
    </w:p>
    <w:p>
      <w:pPr>
        <w:ind w:left="720" w:hanging="720"/>
      </w:pPr>
      <w:r>
        <w:rPr>
          <w:rFonts w:ascii="Times New Roman" w:hAnsi="Times New Roman"/>
          <w:sz w:val="24"/>
        </w:rPr>
        <w:t xml:space="preserve">Pennycook, G., Cheyne, J. A., Barr, N., Fugelsang, J. A., &amp; Koehler, D. J. (2015). On the reception and detection of pseudo-profound bullshit. </w:t>
      </w:r>
      <w:r>
        <w:rPr>
          <w:rFonts w:ascii="Times New Roman" w:hAnsi="Times New Roman"/>
          <w:i/>
          <w:sz w:val="24"/>
        </w:rPr>
        <w:t>Judgment and Decision Making</w:t>
      </w:r>
      <w:r>
        <w:rPr>
          <w:rFonts w:ascii="Times New Roman" w:hAnsi="Times New Roman"/>
          <w:sz w:val="24"/>
        </w:rPr>
        <w:t xml:space="preserve">, </w:t>
      </w:r>
      <w:r>
        <w:rPr>
          <w:rFonts w:ascii="Times New Roman" w:hAnsi="Times New Roman"/>
          <w:i/>
          <w:sz w:val="24"/>
        </w:rPr>
        <w:t>10</w:t>
      </w:r>
      <w:r>
        <w:rPr>
          <w:rFonts w:ascii="Times New Roman" w:hAnsi="Times New Roman"/>
          <w:sz w:val="24"/>
        </w:rPr>
        <w:t xml:space="preserve">(6), 549–563. </w:t>
      </w:r>
      <w:r>
        <w:rPr>
          <w:rFonts w:ascii="Times New Roman" w:hAnsi="Times New Roman"/>
          <w:b/>
          <w:sz w:val="24"/>
        </w:rPr>
        <w:t>[VERIFY]</w:t>
      </w:r>
    </w:p>
    <w:p>
      <w:pPr>
        <w:ind w:left="720" w:hanging="720"/>
      </w:pPr>
      <w:r>
        <w:rPr>
          <w:rFonts w:ascii="Times New Roman" w:hAnsi="Times New Roman"/>
          <w:sz w:val="24"/>
        </w:rPr>
        <w:t xml:space="preserve">Wineburg, S., &amp; McGrew, S. (2019). Lateral reading and the nature of expertise: Reading less and learning more when evaluating digital information. </w:t>
      </w:r>
      <w:r>
        <w:rPr>
          <w:rFonts w:ascii="Times New Roman" w:hAnsi="Times New Roman"/>
          <w:i/>
          <w:sz w:val="24"/>
        </w:rPr>
        <w:t>Teachers College Record</w:t>
      </w:r>
      <w:r>
        <w:rPr>
          <w:rFonts w:ascii="Times New Roman" w:hAnsi="Times New Roman"/>
          <w:sz w:val="24"/>
        </w:rPr>
        <w:t xml:space="preserve">, </w:t>
      </w:r>
      <w:r>
        <w:rPr>
          <w:rFonts w:ascii="Times New Roman" w:hAnsi="Times New Roman"/>
          <w:i/>
          <w:sz w:val="24"/>
        </w:rPr>
        <w:t>121</w:t>
      </w:r>
      <w:r>
        <w:rPr>
          <w:rFonts w:ascii="Times New Roman" w:hAnsi="Times New Roman"/>
          <w:sz w:val="24"/>
        </w:rPr>
        <w:t xml:space="preserve">(11), 1–40. </w:t>
      </w:r>
      <w:r>
        <w:rPr>
          <w:rFonts w:ascii="Times New Roman" w:hAnsi="Times New Roman"/>
          <w:b/>
          <w:sz w:val="24"/>
        </w:rPr>
        <w:t>[VERIFY]</w:t>
      </w:r>
    </w:p>
    <w:p>
      <w:pPr>
        <w:ind w:left="720" w:hanging="720"/>
      </w:pPr>
      <w:r>
        <w:rPr>
          <w:rFonts w:ascii="Times New Roman" w:hAnsi="Times New Roman"/>
          <w:sz w:val="24"/>
        </w:rPr>
        <w:t xml:space="preserve">Wood, T., &amp; Porter, E. (2019). The elusive backfire effect: Mass attitudes' steadfast factual adherence. </w:t>
      </w:r>
      <w:r>
        <w:rPr>
          <w:rFonts w:ascii="Times New Roman" w:hAnsi="Times New Roman"/>
          <w:i/>
          <w:sz w:val="24"/>
        </w:rPr>
        <w:t>Political Behavior</w:t>
      </w:r>
      <w:r>
        <w:rPr>
          <w:rFonts w:ascii="Times New Roman" w:hAnsi="Times New Roman"/>
          <w:sz w:val="24"/>
        </w:rPr>
        <w:t xml:space="preserve">, </w:t>
      </w:r>
      <w:r>
        <w:rPr>
          <w:rFonts w:ascii="Times New Roman" w:hAnsi="Times New Roman"/>
          <w:i/>
          <w:sz w:val="24"/>
        </w:rPr>
        <w:t>41</w:t>
      </w:r>
      <w:r>
        <w:rPr>
          <w:rFonts w:ascii="Times New Roman" w:hAnsi="Times New Roman"/>
          <w:sz w:val="24"/>
        </w:rPr>
        <w:t xml:space="preserve">(1), 135–163. </w:t>
      </w:r>
      <w:r>
        <w:rPr>
          <w:rFonts w:ascii="Times New Roman" w:hAnsi="Times New Roman"/>
          <w:b/>
          <w:sz w:val="24"/>
        </w:rPr>
        <w:t>[VERIFY]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