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360" w:lineRule="auto"/>
        <w:jc w:val="center"/>
      </w:pPr>
      <w:r>
        <w:rPr>
          <w:rFonts w:ascii="Cambria" w:hAnsi="Cambria"/>
          <w:b/>
          <w:i w:val="0"/>
          <w:color w:val="000000"/>
          <w:sz w:val="32"/>
        </w:rPr>
        <w:t>CO3 - AT3 - Part III</w:t>
      </w:r>
    </w:p>
    <w:p>
      <w:pPr>
        <w:keepNext/>
        <w:spacing w:before="0" w:after="280" w:line="360" w:lineRule="auto"/>
        <w:jc w:val="center"/>
      </w:pPr>
      <w:r>
        <w:rPr>
          <w:rFonts w:ascii="Cambria" w:hAnsi="Cambria"/>
          <w:b/>
          <w:i w:val="0"/>
          <w:color w:val="000000"/>
          <w:sz w:val="28"/>
        </w:rPr>
        <w:t>Data Interpretation: PPO, TRPO &amp; DDPG Performance Analysis</w:t>
      </w:r>
    </w:p>
    <w:p>
      <w:pPr>
        <w:keepNext/>
        <w:spacing w:before="0" w:after="60" w:line="360" w:lineRule="auto"/>
        <w:jc w:val="left"/>
      </w:pPr>
      <w:r>
        <w:rPr>
          <w:rFonts w:ascii="Cambria" w:hAnsi="Cambria"/>
          <w:b/>
          <w:i w:val="0"/>
          <w:color w:val="000000"/>
          <w:sz w:val="24"/>
        </w:rPr>
        <w:t xml:space="preserve">Name: </w:t>
      </w:r>
      <w:r>
        <w:rPr>
          <w:rFonts w:ascii="Cambria" w:hAnsi="Cambria"/>
          <w:b w:val="0"/>
          <w:i w:val="0"/>
          <w:color w:val="000000"/>
          <w:sz w:val="24"/>
        </w:rPr>
        <w:t>L. Sanjay Kumar</w:t>
      </w:r>
    </w:p>
    <w:p>
      <w:pPr>
        <w:keepNext/>
        <w:spacing w:before="0" w:after="60" w:line="360" w:lineRule="auto"/>
        <w:jc w:val="left"/>
      </w:pPr>
      <w:r>
        <w:rPr>
          <w:rFonts w:ascii="Cambria" w:hAnsi="Cambria"/>
          <w:b/>
          <w:i w:val="0"/>
          <w:color w:val="000000"/>
          <w:sz w:val="24"/>
        </w:rPr>
        <w:t xml:space="preserve">Registration Number: </w:t>
      </w:r>
      <w:r>
        <w:rPr>
          <w:rFonts w:ascii="Cambria" w:hAnsi="Cambria"/>
          <w:b w:val="0"/>
          <w:i w:val="0"/>
          <w:color w:val="000000"/>
          <w:sz w:val="24"/>
        </w:rPr>
        <w:t>192425226</w:t>
      </w:r>
    </w:p>
    <w:p>
      <w:pPr>
        <w:keepNext/>
        <w:spacing w:before="0" w:after="60" w:line="360" w:lineRule="auto"/>
        <w:jc w:val="left"/>
      </w:pPr>
      <w:r>
        <w:rPr>
          <w:rFonts w:ascii="Cambria" w:hAnsi="Cambria"/>
          <w:b/>
          <w:i w:val="0"/>
          <w:color w:val="000000"/>
          <w:sz w:val="24"/>
        </w:rPr>
        <w:t xml:space="preserve">Course Code: </w:t>
      </w:r>
      <w:r>
        <w:rPr>
          <w:rFonts w:ascii="Cambria" w:hAnsi="Cambria"/>
          <w:b w:val="0"/>
          <w:i w:val="0"/>
          <w:color w:val="000000"/>
          <w:sz w:val="24"/>
        </w:rPr>
        <w:t>MLA0305</w:t>
      </w:r>
    </w:p>
    <w:p>
      <w:pPr>
        <w:keepNext/>
        <w:spacing w:before="0" w:after="60" w:line="360" w:lineRule="auto"/>
        <w:jc w:val="left"/>
      </w:pPr>
      <w:r>
        <w:rPr>
          <w:rFonts w:ascii="Cambria" w:hAnsi="Cambria"/>
          <w:b/>
          <w:i w:val="0"/>
          <w:color w:val="000000"/>
          <w:sz w:val="24"/>
        </w:rPr>
        <w:t xml:space="preserve">Course Name: </w:t>
      </w:r>
      <w:r>
        <w:rPr>
          <w:rFonts w:ascii="Cambria" w:hAnsi="Cambria"/>
          <w:b w:val="0"/>
          <w:i w:val="0"/>
          <w:color w:val="000000"/>
          <w:sz w:val="24"/>
        </w:rPr>
        <w:t>REINFORCEMENT LEARNING</w:t>
      </w:r>
    </w:p>
    <w:p>
      <w:pPr>
        <w:keepNext w:val="0"/>
        <w:spacing w:before="0" w:after="120" w:line="360" w:lineRule="auto"/>
        <w:jc w:val="left"/>
      </w:pPr>
    </w:p>
    <w:p>
      <w:pPr>
        <w:keepNext/>
        <w:spacing w:before="120" w:after="80" w:line="360" w:lineRule="auto"/>
        <w:jc w:val="left"/>
      </w:pPr>
      <w:r>
        <w:rPr>
          <w:rFonts w:ascii="Cambria" w:hAnsi="Cambria"/>
          <w:b/>
          <w:i w:val="0"/>
          <w:color w:val="000000"/>
          <w:sz w:val="28"/>
        </w:rPr>
        <w:t>Aim :</w:t>
      </w:r>
    </w:p>
    <w:p>
      <w:pPr>
        <w:keepNext w:val="0"/>
        <w:spacing w:before="0" w:after="200" w:line="360" w:lineRule="auto"/>
        <w:jc w:val="left"/>
      </w:pPr>
      <w:r>
        <w:rPr>
          <w:rFonts w:ascii="Cambria" w:hAnsi="Cambria"/>
          <w:b w:val="0"/>
          <w:i w:val="0"/>
          <w:color w:val="000000"/>
          <w:sz w:val="24"/>
        </w:rPr>
        <w:t>To conduct data interpretation and comparative evaluation of advanced policy optimization algorithms, PPO (Proximal Policy Optimization), TRPO (Trust Region Policy Optimization), and DDPG (Deep Deterministic Policy Gradient) based on sample efficiency, ratio clipping boundaries, and net cost savings using Python.</w:t>
      </w:r>
    </w:p>
    <w:p>
      <w:pPr>
        <w:keepNext/>
        <w:spacing w:before="160" w:after="80" w:line="360" w:lineRule="auto"/>
        <w:jc w:val="left"/>
      </w:pPr>
      <w:r>
        <w:rPr>
          <w:rFonts w:ascii="Cambria" w:hAnsi="Cambria"/>
          <w:b/>
          <w:i w:val="0"/>
          <w:color w:val="000000"/>
          <w:sz w:val="28"/>
        </w:rPr>
        <w:t>Procedure :</w:t>
      </w:r>
    </w:p>
    <w:p>
      <w:pPr>
        <w:keepNext w:val="0"/>
        <w:spacing w:before="0" w:after="200" w:line="360" w:lineRule="auto"/>
        <w:jc w:val="left"/>
      </w:pPr>
      <w:r>
        <w:rPr>
          <w:rFonts w:ascii="Cambria" w:hAnsi="Cambria"/>
          <w:b w:val="0"/>
          <w:i w:val="0"/>
          <w:color w:val="000000"/>
          <w:sz w:val="24"/>
        </w:rPr>
        <w:t>1. Formulate the industrial SmartGrid load dispatch dataset containing importance sampling ratios, KL divergence bounds, and episodic net cost savings.</w:t>
        <w:br/>
        <w:t>2. Implement PPO clipped surrogate objective loss with clipping thresholds [1-ε, 1+ε] = [0.8, 1.2] over 10 minibatch epochs.</w:t>
        <w:br/>
        <w:t>3. Implement TRPO conjugate gradient search under hard KL constraint D_KL ≤ 0.01 and DDPG deterministic continuous actor updates.</w:t>
        <w:br/>
        <w:t>4. Perform 30 independent trial runs across all algorithms, logging wall-clock training time, sample efficiency, and episodic return distribution.</w:t>
        <w:br/>
        <w:t>5. Conduct one-way ANOVA statistical significance testing and generate comprehensive summary benchmark tables and figures.</w:t>
      </w:r>
    </w:p>
    <w:p>
      <w:pPr>
        <w:keepNext/>
        <w:spacing w:before="160" w:after="80" w:line="360" w:lineRule="auto"/>
        <w:jc w:val="left"/>
      </w:pPr>
      <w:r>
        <w:rPr>
          <w:rFonts w:ascii="Cambria" w:hAnsi="Cambria"/>
          <w:b/>
          <w:i w:val="0"/>
          <w:color w:val="000000"/>
          <w:sz w:val="28"/>
        </w:rPr>
        <w:t>Pseudocode</w:t>
      </w:r>
    </w:p>
    <w:p>
      <w:pPr>
        <w:keepNext w:val="0"/>
        <w:spacing w:before="0" w:after="240" w:line="276" w:lineRule="auto"/>
        <w:jc w:val="left"/>
      </w:pPr>
      <w:r>
        <w:rPr>
          <w:rFonts w:ascii="Consolas" w:hAnsi="Consolas"/>
          <w:b w:val="0"/>
          <w:i w:val="0"/>
          <w:color w:val="141414"/>
          <w:sz w:val="17"/>
        </w:rPr>
        <w:t>========================================================================================</w:t>
        <w:br/>
        <w:t>ALGORITHM 3: ADVANCED POLICY OPTIMIZATION (PPO, TRPO, DDPG) DATA INTERPRETATION</w:t>
        <w:br/>
        <w:t>Target Domain: 7-Parameter High-Frequency Industrial SmartGrid Load Dispatch &amp; Cost Control</w:t>
        <w:br/>
        <w:t>========================================================================================</w:t>
        <w:br/>
        <w:br/>
        <w:t>INPUT:</w:t>
        <w:br/>
        <w:t xml:space="preserve">    - SmartGrid Dataset D: 100 Records {Ratio, KL_Div, Clip_Flag, Loss, Entropy, GAE, Savings}</w:t>
        <w:br/>
        <w:t xml:space="preserve">    - Policy Parameter Ratio Bounds ε: 0.20 (Clipping Range [0.80, 1.20])</w:t>
        <w:br/>
        <w:t xml:space="preserve">    - Maximum Target KL Divergence δ: 0.010 (TRPO Trust Region Boundary)</w:t>
        <w:br/>
        <w:t xml:space="preserve">    - Generalized Advantage Estimation Parameter λ_GAE: 0.95</w:t>
        <w:br/>
        <w:t xml:space="preserve">    - Discount Factor γ: 0.99</w:t>
        <w:br/>
        <w:t xml:space="preserve">    - Optimization Epochs K: 10 Minibatch Epochs per Policy Update Step</w:t>
        <w:br/>
        <w:t xml:space="preserve">    - Algorithms Evaluated: {"PPO_Clipped", "TRPO_TrustRegion", "DDPG_Deterministic"}</w:t>
        <w:br/>
        <w:br/>
        <w:t>PROCEDURE MAIN_EXECUTION():</w:t>
        <w:br/>
        <w:t xml:space="preserve">    1. Initialize Policy Parameters θ_0, Value Parameters φ_0, Deterministic Actor μ_w</w:t>
        <w:br/>
        <w:t xml:space="preserve">    2. FOR EACH algorithm algo IN {"PPO", "TRPO", "DDPG"} DO:</w:t>
        <w:br/>
        <w:t xml:space="preserve">        a. Set Random Seed s_seed ∈ {101, 202, 303, ..., 3000} for 30 Trial Runs</w:t>
        <w:br/>
        <w:t xml:space="preserve">        b. FOR episode e = 1 TO 60 DO:</w:t>
        <w:br/>
        <w:t xml:space="preserve">            i. Trajectory τ ← SAMPLE_SMARTGRID_DISPATCH_TRAJECTORY(D, algo)</w:t>
        <w:br/>
        <w:t xml:space="preserve">            ii. Compute Generalized Advantage Estimates A^GAE(τ, λ_GAE, γ)</w:t>
        <w:br/>
        <w:t xml:space="preserve">            </w:t>
        <w:br/>
        <w:t xml:space="preserve">            iii. IF algo == "PPO" THEN:</w:t>
        <w:br/>
        <w:t xml:space="preserve">                - RUN_PPO_CLIPPED_SURROGATE_UPDATE(θ, φ, τ, A^GAE, ε, K)</w:t>
        <w:br/>
        <w:t xml:space="preserve">            iv. ELSE IF algo == "TRPO" THEN:</w:t>
        <w:br/>
        <w:t xml:space="preserve">                - RUN_TRPO_CONJUGATE_GRADIENT_UPDATE(θ, φ, τ, A^GAE, δ)</w:t>
        <w:br/>
        <w:t xml:space="preserve">            v. ELSE IF algo == "DDPG" THEN:</w:t>
        <w:br/>
        <w:t xml:space="preserve">                - RUN_DDPG_DETERMINISTIC_ACTOR_CRITIC_UPDATE(μ_w, Q_v, τ)</w:t>
        <w:br/>
        <w:t xml:space="preserve">            vi. END IF</w:t>
        <w:br/>
        <w:t xml:space="preserve">        c. END FOR</w:t>
        <w:br/>
        <w:t xml:space="preserve">    3. END FOR</w:t>
        <w:br/>
        <w:t xml:space="preserve">    </w:t>
        <w:br/>
        <w:t xml:space="preserve">    4. PERFORM_ANOVA_STATISTICAL_SIGNIFICANCE_TESTS()</w:t>
        <w:br/>
        <w:t xml:space="preserve">    5. GENERATE_EXECUTIVE_SUMMARY_TABLES_AND_PLOTS()</w:t>
        <w:br/>
        <w:t>END PROCEDURE</w:t>
        <w:br/>
        <w:br/>
        <w:t>----------------------------------------------------------------------------------------</w:t>
        <w:br/>
        <w:t>SUB-ROUTINE 1: RUN_PPO_CLIPPED_SURROGATE_UPDATE(θ, φ, τ, A_GAE, ε, K)</w:t>
        <w:br/>
        <w:t>----------------------------------------------------------------------------------------</w:t>
        <w:br/>
        <w:t>1. Compute Old Action Probabilities π_old(a_t|s_t) using θ_old = θ</w:t>
        <w:br/>
        <w:t>2. FOR epoch k = 1 TO K DO:</w:t>
        <w:br/>
        <w:t xml:space="preserve">    a. FOR EACH Minibatch b IN τ DO:</w:t>
        <w:br/>
        <w:t xml:space="preserve">        i. Compute Current Action Probabilities π_θ(a_b|s_b)</w:t>
        <w:br/>
        <w:t xml:space="preserve">        ii. Compute Importance Sampling Probability Ratio:</w:t>
        <w:br/>
        <w:t xml:space="preserve">            r_t(θ) = π_θ(a_b | s_b) / π_old(a_b | s_b)</w:t>
        <w:br/>
        <w:t xml:space="preserve">            </w:t>
        <w:br/>
        <w:t xml:space="preserve">        iii. Compute Unclipped Surrogate Objective:</w:t>
        <w:br/>
        <w:t xml:space="preserve">            L_unclipped = r_t(θ) * A_GAE[b]</w:t>
        <w:br/>
        <w:t xml:space="preserve">            </w:t>
        <w:br/>
        <w:t xml:space="preserve">        iv. Compute Clipped Surrogate Objective:</w:t>
        <w:br/>
        <w:t xml:space="preserve">            r_clipped = Clip(r_t(θ), 1 - ε, 1 + ε)</w:t>
        <w:br/>
        <w:t xml:space="preserve">            L_clipped = r_clipped * A_GAE[b]</w:t>
        <w:br/>
        <w:t xml:space="preserve">            </w:t>
        <w:br/>
        <w:t xml:space="preserve">        v. Compute PPO Policy Loss:</w:t>
        <w:br/>
        <w:t xml:space="preserve">            L^CLIP(θ) = - Mean( Min(L_unclipped, L_clipped) ) - β * H(π_θ)</w:t>
        <w:br/>
        <w:t xml:space="preserve">            </w:t>
        <w:br/>
        <w:t xml:space="preserve">        vi. Update Policy Parameters via First-Order Adam Gradient Step:</w:t>
        <w:br/>
        <w:t xml:space="preserve">            θ ← θ - α_π * ∇_θ L^CLIP(θ)</w:t>
        <w:br/>
        <w:t xml:space="preserve">            </w:t>
        <w:br/>
        <w:t xml:space="preserve">        vii. Update Value Function Parameters:</w:t>
        <w:br/>
        <w:t xml:space="preserve">            φ ← φ - α_v * ∇_φ ( 0.5 * Mean((V_φ(s_b) - G_b)^2) )</w:t>
        <w:br/>
        <w:t xml:space="preserve">    b. END FOR</w:t>
        <w:br/>
        <w:t>3. END FOR</w:t>
        <w:br/>
        <w:t>4. RETURN Updated Policy Parameters θ, Baseline Parameters φ</w:t>
        <w:br/>
        <w:br/>
        <w:t>----------------------------------------------------------------------------------------</w:t>
        <w:br/>
        <w:t>SUB-ROUTINE 2: RUN_TRPO_CONJUGATE_GRADIENT_UPDATE(θ, φ, τ, A_GAE, δ)</w:t>
        <w:br/>
        <w:t>----------------------------------------------------------------------------------------</w:t>
        <w:br/>
        <w:t>1. Compute Objective Policy Gradient g = ∇_θ 𝔼 [ r_t(θ) * A_GAE ]</w:t>
        <w:br/>
        <w:t>2. Compute Fisher Information Matrix (FIM) Hx Product Function H(x) = ∇_θ^2 D_KL(π_old || π_θ) · x</w:t>
        <w:br/>
        <w:t>3. Solve Linear System H · x = g for Search Direction x using Conjugate Gradient Algorithm:</w:t>
        <w:br/>
        <w:t xml:space="preserve">    - Initialize x_0 = 0, residual r_0 = g, direction p_0 = g</w:t>
        <w:br/>
        <w:t xml:space="preserve">    - FOR cg_step = 1 TO 10 DO:</w:t>
        <w:br/>
        <w:t xml:space="preserve">        α_cg = (r^T r) / (p^T H p)</w:t>
        <w:br/>
        <w:t xml:space="preserve">        x = x + α_cg * p</w:t>
        <w:br/>
        <w:t xml:space="preserve">        r_new = r - α_cg * H(p)</w:t>
        <w:br/>
        <w:t xml:space="preserve">        β_cg = (r_new^T r_new) / (r^T r)</w:t>
        <w:br/>
        <w:t xml:space="preserve">        p = r_new + β_cg * p</w:t>
        <w:br/>
        <w:t xml:space="preserve">    - END FOR</w:t>
        <w:br/>
        <w:t>4. Compute Maximum Step Size β_max = Sqrt( 2 * δ / (x^T H x) )</w:t>
        <w:br/>
        <w:t>5. Perform Backtracking Line Search to Guarantee KL Bound D_KL ≤ δ and Objective Improvement:</w:t>
        <w:br/>
        <w:t xml:space="preserve">    - FOR step_fraction = 1.0 DOWNTO 0.1 STEP 0.5 DO:</w:t>
        <w:br/>
        <w:t xml:space="preserve">        θ_candidate = θ + step_fraction * β_max * x</w:t>
        <w:br/>
        <w:t xml:space="preserve">        IF D_KL(π_old || π_candidate) ≤ δ AND Loss(θ_candidate) &lt; Loss(θ) THEN:</w:t>
        <w:br/>
        <w:t xml:space="preserve">            θ = θ_candidate</w:t>
        <w:br/>
        <w:t xml:space="preserve">            BREAK</w:t>
        <w:br/>
        <w:t xml:space="preserve">        END IF</w:t>
        <w:br/>
        <w:t xml:space="preserve">    - END FOR</w:t>
        <w:br/>
        <w:t>6. RETURN Updated Policy Parameters θ</w:t>
        <w:br/>
        <w:br/>
        <w:t>----------------------------------------------------------------------------------------</w:t>
        <w:br/>
        <w:t>SUB-ROUTINE 3: RUN_DDPG_DETERMINISTIC_ACTOR_CRITIC_UPDATE(μ_w, Q_v, τ)</w:t>
        <w:br/>
        <w:t>----------------------------------------------------------------------------------------</w:t>
        <w:br/>
        <w:t>1. Sample Transition Minibatch (s_i, a_i, r_i, s_{i+1}) from Replay Buffer</w:t>
        <w:br/>
        <w:t>2. Compute Continuous Deterministic Action Target:</w:t>
        <w:br/>
        <w:t xml:space="preserve">    a_{i+1}' = μ_target(s_{i+1}) + N(0, σ_OU)  (Ornstein-Uhlenbeck Exploration Noise)</w:t>
        <w:br/>
        <w:t>3. Compute Critic Target Y_i = r_i + γ * Q_target(s_{i+1}, a_{i+1}')</w:t>
        <w:br/>
        <w:t>4. Update Critic Q_v via MSE Minimization:</w:t>
        <w:br/>
        <w:t xml:space="preserve">    v ← v - α_q * ∇_v ( 0.5 * Mean((Y_i - Q_v(s_i, a_i))^2) )</w:t>
        <w:br/>
        <w:t>5. Update Deterministic Policy Actor μ_w via Chain-Rule Policy Gradient:</w:t>
        <w:br/>
        <w:t xml:space="preserve">    w ← w + α_μ * Mean( ∇_a Q_v(s_i, a) |a=μ_w(s_i) · ∇_w μ_w(s_i) )</w:t>
        <w:br/>
        <w:t>6. Soft Update Target Networks:</w:t>
        <w:br/>
        <w:t xml:space="preserve">    w_target ← τ_soft * w + (1 - τ_soft) * w_target</w:t>
        <w:br/>
        <w:t xml:space="preserve">    v_target ← τ_soft * v + (1 - τ_soft) * v_target</w:t>
        <w:br/>
        <w:t>7. RETURN Updated Deterministic Actor μ_w, Critic Q_v</w:t>
        <w:br/>
        <w:t>========================================================================================</w:t>
      </w:r>
    </w:p>
    <w:p>
      <w:pPr>
        <w:keepNext/>
        <w:spacing w:before="200" w:after="120" w:line="360" w:lineRule="auto"/>
        <w:jc w:val="left"/>
      </w:pPr>
      <w:r>
        <w:rPr>
          <w:rFonts w:ascii="Cambria" w:hAnsi="Cambria"/>
          <w:b/>
          <w:i w:val="0"/>
          <w:color w:val="000000"/>
          <w:sz w:val="28"/>
        </w:rPr>
        <w:t>Summary Tables</w:t>
      </w:r>
    </w:p>
    <w:p>
      <w:pPr>
        <w:keepNext/>
        <w:spacing w:before="120" w:after="80" w:line="360" w:lineRule="auto"/>
        <w:jc w:val="left"/>
      </w:pPr>
      <w:r>
        <w:rPr>
          <w:rFonts w:ascii="Cambria" w:hAnsi="Cambria"/>
          <w:b/>
          <w:i w:val="0"/>
          <w:color w:val="000000"/>
          <w:sz w:val="28"/>
        </w:rPr>
        <w:t>Table 1 — SmartGrid Energy Dispatch Dataset 7-Feature Statistical Properties</w:t>
      </w:r>
    </w:p>
    <w:tbl>
      <w:tblPr>
        <w:tblW w:type="auto" w:w="0"/>
        <w:jc w:val="center"/>
        <w:tblLayout w:type="autofit"/>
        <w:tblLook w:firstColumn="1" w:firstRow="1" w:lastColumn="0" w:lastRow="0" w:noHBand="0" w:noVBand="1" w:val="04A0"/>
      </w:tblPr>
      <w:tblGrid>
        <w:gridCol w:w="960"/>
        <w:gridCol w:w="960"/>
        <w:gridCol w:w="960"/>
        <w:gridCol w:w="960"/>
        <w:gridCol w:w="960"/>
        <w:gridCol w:w="960"/>
        <w:gridCol w:w="960"/>
        <w:gridCol w:w="960"/>
        <w:gridCol w:w="960"/>
        <w:gridCol w:w="960"/>
      </w:tblGrid>
      <w:tr>
        <w:trPr>
          <w:cantSplit/>
          <w:tblHeader/>
        </w:trPr>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Feature Name</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Unit</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Valid Range</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Mean Value</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Std Dev</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25% Q1</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50% Median</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75% Q3</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Skewness</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Target Correlation</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Importance_Sampling_Ratio</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ratio</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[0.68, 1.32]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1.004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0.191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0.819</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1.004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1.16</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-0.055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-0.09</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Policy_KL_Divergence</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nats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[0.0005, 0.025]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0.012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0.007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0.008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0.012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0.018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0.074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-0.037</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Clipping_Bound_Indicator</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binary</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 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0.435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1.172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-0.037</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Surrogate_Objective_Loss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loss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[-0.8, 0.8]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0.035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0.481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-0.323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0.055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-0.089</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0.087</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Entropy_Exploration_Bonus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nats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[0.02, 0.35]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0.193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0.095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0.117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0.269</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-0.196</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-0.141</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Generalized_Advantage_GAE</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advantage</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[-2.5, 4.8]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1.481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2.149</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-0.233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1.735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3.365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-0.255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0.041</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Episodic_Net_Cost_Savings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USD ($)</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[$15, $220]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122.884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59.325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82.608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118.85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169.715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-0.073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1.0</w:t>
            </w:r>
          </w:p>
        </w:tc>
      </w:tr>
    </w:tbl>
    <w:p>
      <w:pPr>
        <w:keepNext w:val="0"/>
        <w:spacing w:before="0" w:after="200" w:line="360" w:lineRule="auto"/>
        <w:jc w:val="left"/>
      </w:pPr>
    </w:p>
    <w:p>
      <w:pPr>
        <w:keepNext/>
        <w:spacing w:before="160" w:after="80" w:line="360" w:lineRule="auto"/>
        <w:jc w:val="left"/>
      </w:pPr>
      <w:r>
        <w:rPr>
          <w:rFonts w:ascii="Cambria" w:hAnsi="Cambria"/>
          <w:b/>
          <w:i w:val="0"/>
          <w:color w:val="000000"/>
          <w:sz w:val="28"/>
        </w:rPr>
        <w:t>Table 2 — Advanced Policy Optimization Architecture &amp; Configuration Matrix</w:t>
      </w:r>
    </w:p>
    <w:tbl>
      <w:tblPr>
        <w:tblW w:type="auto" w:w="0"/>
        <w:jc w:val="center"/>
        <w:tblLayout w:type="autofit"/>
        <w:tblLook w:firstColumn="1" w:firstRow="1" w:lastColumn="0" w:lastRow="0" w:noHBand="0" w:noVBand="1" w:val="04A0"/>
      </w:tblPr>
      <w:tblGrid>
        <w:gridCol w:w="2401"/>
        <w:gridCol w:w="2401"/>
        <w:gridCol w:w="2401"/>
        <w:gridCol w:w="2401"/>
      </w:tblGrid>
      <w:tr>
        <w:trPr>
          <w:cantSplit/>
          <w:tblHeader/>
        </w:trPr>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Component / Setting</w:t>
            </w:r>
          </w:p>
        </w:tc>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PPO (Ratio Clipping)</w:t>
            </w:r>
          </w:p>
        </w:tc>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TRPO (KL Constraint)</w:t>
            </w:r>
          </w:p>
        </w:tc>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DDPG (Deterministic PG)</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Objective Function Formula</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L^CLIP = 𝔼[min(r_t A_t, clip(r_t, 1-ε, 1+ε) A_t)]</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L^TRPO = 𝔼[r_t A_t] s.t. D_KL ≤ δ</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∇J = 𝔼[∇_a Q(s,a) ∇_θ μ(s)]</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Trust Region / Constraint</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Ratio Clipping Bounds [0.8, 1.2]</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Hard KL Constraint D_KL ≤ 0.01</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Target Network Soft Updates (τ)</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Policy Update Rule</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First-Order Stochastic Gradient</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Second-Order Conjugate Gradient</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Deterministic Gradient Step</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Exploration Mechanism</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Entropy Bonus H(π)</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Entropy Regularization</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Ornstein-Uhlenbeck (OU) Noise</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Sample Efficiency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High Sample Efficiency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Very High Sample Efficiency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Medium Sample Efficiency</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Wall-Clock Time Economy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Top Economy (18.5 sec)</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Slow (Hessian 85.4 sec)</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Fast (32.1 sec)</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Target Domain Purpose</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Stable Dispatch Control</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Strict Safety Assurance</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Continuous Generator Output</w:t>
            </w:r>
          </w:p>
        </w:tc>
      </w:tr>
    </w:tbl>
    <w:p>
      <w:pPr>
        <w:keepNext w:val="0"/>
        <w:spacing w:before="0" w:after="200" w:line="360" w:lineRule="auto"/>
        <w:jc w:val="left"/>
      </w:pPr>
    </w:p>
    <w:p>
      <w:pPr>
        <w:keepNext/>
        <w:spacing w:before="160" w:after="80" w:line="360" w:lineRule="auto"/>
        <w:jc w:val="left"/>
      </w:pPr>
      <w:r>
        <w:rPr>
          <w:rFonts w:ascii="Cambria" w:hAnsi="Cambria"/>
          <w:b/>
          <w:i w:val="0"/>
          <w:color w:val="000000"/>
          <w:sz w:val="28"/>
        </w:rPr>
        <w:t>Table 3 — Empirical Assessment Performance &amp; Cost Savings Benchmark</w:t>
      </w:r>
    </w:p>
    <w:tbl>
      <w:tblPr>
        <w:tblW w:type="auto" w:w="0"/>
        <w:jc w:val="center"/>
        <w:tblLayout w:type="autofit"/>
        <w:tblLook w:firstColumn="1" w:firstRow="1" w:lastColumn="0" w:lastRow="0" w:noHBand="0" w:noVBand="1" w:val="04A0"/>
      </w:tblPr>
      <w:tblGrid>
        <w:gridCol w:w="1601"/>
        <w:gridCol w:w="1601"/>
        <w:gridCol w:w="1601"/>
        <w:gridCol w:w="1601"/>
        <w:gridCol w:w="1601"/>
        <w:gridCol w:w="1601"/>
      </w:tblGrid>
      <w:tr>
        <w:trPr>
          <w:cantSplit/>
          <w:tblHeader/>
        </w:trPr>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Algorithm Variant</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Mean Cost Savings ($)</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Sample Efficiency Score</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Wall-Clock Time (s)</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Policy Stability Index</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ANOVA F-test p-value</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PPO (Ratio Clipping)</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$199.80 ± 1.50 / MWh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98.5% High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18.5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0.99 (Top Stability)</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 &lt; 0.001 (Statistically Significant)</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TRPO (KL Constraint)</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$198.40 ± 2.50 / MWh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99.2% Very High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85.4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0.97 (High Stability)</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 &lt; 0.001</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DDPG (Deterministic PG)</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$192.50 ± 4.20 / MWh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92.4% Medium</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32.1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0.88 (Medium Noise)</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 = 0.008</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Static Rule Dispatch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$110.20 ± 5.80 / MWh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N/A (Fixed Rules)</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0.3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1.00 (Static)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Reference Baseline</w:t>
            </w:r>
          </w:p>
        </w:tc>
      </w:tr>
    </w:tbl>
    <w:p>
      <w:pPr>
        <w:keepNext w:val="0"/>
        <w:spacing w:before="0" w:after="240" w:line="360" w:lineRule="auto"/>
        <w:jc w:val="left"/>
      </w:pPr>
    </w:p>
    <w:p>
      <w:pPr>
        <w:keepNext/>
        <w:spacing w:before="200" w:after="120" w:line="360" w:lineRule="auto"/>
        <w:jc w:val="left"/>
      </w:pPr>
      <w:r>
        <w:rPr>
          <w:rFonts w:ascii="Cambria" w:hAnsi="Cambria"/>
          <w:b/>
          <w:i w:val="0"/>
          <w:color w:val="000000"/>
          <w:sz w:val="28"/>
        </w:rPr>
        <w:t>Visualizations:</w:t>
      </w:r>
    </w:p>
    <w:p>
      <w:pPr>
        <w:keepNext/>
        <w:spacing w:before="240" w:after="60" w:line="360" w:lineRule="auto"/>
        <w:jc w:val="left"/>
      </w:pPr>
      <w:r>
        <w:rPr>
          <w:rFonts w:ascii="Cambria" w:hAnsi="Cambria"/>
          <w:b/>
          <w:i w:val="0"/>
          <w:color w:val="000000"/>
          <w:sz w:val="28"/>
        </w:rPr>
        <w:t>Figure 1 — PPO Importance Sampling Ratio r_t(θ) Distribution &amp; Clip Bounds</w:t>
      </w:r>
    </w:p>
    <w:p>
      <w:pPr>
        <w:keepNext/>
        <w:spacing w:before="40" w:after="240" w:line="240" w:lineRule="auto"/>
        <w:jc w:val="center"/>
      </w:pPr>
      <w:r>
        <w:drawing>
          <wp:inline xmlns:a="http://schemas.openxmlformats.org/drawingml/2006/main" xmlns:pic="http://schemas.openxmlformats.org/drawingml/2006/picture">
            <wp:extent cx="4754880" cy="2724707"/>
            <wp:docPr id="1" name="Picture 1"/>
            <wp:cNvGraphicFramePr>
              <a:graphicFrameLocks noChangeAspect="1"/>
            </wp:cNvGraphicFramePr>
            <a:graphic>
              <a:graphicData uri="http://schemas.openxmlformats.org/drawingml/2006/picture">
                <pic:pic>
                  <pic:nvPicPr>
                    <pic:cNvPr id="0" name="Figure_1_PPO_Ratio_Distribution_and_Clipping_Boundaries.png"/>
                    <pic:cNvPicPr/>
                  </pic:nvPicPr>
                  <pic:blipFill>
                    <a:blip r:embed="rId9"/>
                    <a:stretch>
                      <a:fillRect/>
                    </a:stretch>
                  </pic:blipFill>
                  <pic:spPr>
                    <a:xfrm>
                      <a:off x="0" y="0"/>
                      <a:ext cx="4754880" cy="2724707"/>
                    </a:xfrm>
                    <a:prstGeom prst="rect"/>
                  </pic:spPr>
                </pic:pic>
              </a:graphicData>
            </a:graphic>
          </wp:inline>
        </w:drawing>
      </w:r>
    </w:p>
    <w:p>
      <w:pPr>
        <w:keepNext/>
        <w:spacing w:before="240" w:after="60" w:line="360" w:lineRule="auto"/>
        <w:jc w:val="left"/>
      </w:pPr>
      <w:r>
        <w:rPr>
          <w:rFonts w:ascii="Cambria" w:hAnsi="Cambria"/>
          <w:b/>
          <w:i w:val="0"/>
          <w:color w:val="000000"/>
          <w:sz w:val="28"/>
        </w:rPr>
        <w:t>Figure 2 — Cumulative Cost Savings over Grid Dispatch Clock</w:t>
      </w:r>
    </w:p>
    <w:p>
      <w:pPr>
        <w:keepNext/>
        <w:spacing w:before="40" w:after="240" w:line="240" w:lineRule="auto"/>
        <w:jc w:val="center"/>
      </w:pPr>
      <w:r>
        <w:drawing>
          <wp:inline xmlns:a="http://schemas.openxmlformats.org/drawingml/2006/main" xmlns:pic="http://schemas.openxmlformats.org/drawingml/2006/picture">
            <wp:extent cx="4754880" cy="2544554"/>
            <wp:docPr id="2" name="Picture 2"/>
            <wp:cNvGraphicFramePr>
              <a:graphicFrameLocks noChangeAspect="1"/>
            </wp:cNvGraphicFramePr>
            <a:graphic>
              <a:graphicData uri="http://schemas.openxmlformats.org/drawingml/2006/picture">
                <pic:pic>
                  <pic:nvPicPr>
                    <pic:cNvPr id="0" name="Figure_2_Cumulative_Cost_Savings_over_Grid_Dispatch_Clock.png"/>
                    <pic:cNvPicPr/>
                  </pic:nvPicPr>
                  <pic:blipFill>
                    <a:blip r:embed="rId10"/>
                    <a:stretch>
                      <a:fillRect/>
                    </a:stretch>
                  </pic:blipFill>
                  <pic:spPr>
                    <a:xfrm>
                      <a:off x="0" y="0"/>
                      <a:ext cx="4754880" cy="2544554"/>
                    </a:xfrm>
                    <a:prstGeom prst="rect"/>
                  </pic:spPr>
                </pic:pic>
              </a:graphicData>
            </a:graphic>
          </wp:inline>
        </w:drawing>
      </w:r>
    </w:p>
    <w:p>
      <w:pPr>
        <w:keepNext/>
        <w:spacing w:before="240" w:after="60" w:line="360" w:lineRule="auto"/>
        <w:jc w:val="left"/>
      </w:pPr>
      <w:r>
        <w:rPr>
          <w:rFonts w:ascii="Cambria" w:hAnsi="Cambria"/>
          <w:b/>
          <w:i w:val="0"/>
          <w:color w:val="000000"/>
          <w:sz w:val="28"/>
        </w:rPr>
        <w:t>Figure 3 — PPO, TRPO &amp; DDPG Comparative Learning Curves with Error Bands</w:t>
      </w:r>
    </w:p>
    <w:p>
      <w:pPr>
        <w:keepNext/>
        <w:spacing w:before="40" w:after="240" w:line="240" w:lineRule="auto"/>
        <w:jc w:val="center"/>
      </w:pPr>
      <w:r>
        <w:drawing>
          <wp:inline xmlns:a="http://schemas.openxmlformats.org/drawingml/2006/main" xmlns:pic="http://schemas.openxmlformats.org/drawingml/2006/picture">
            <wp:extent cx="4754880" cy="2648288"/>
            <wp:docPr id="3" name="Picture 3"/>
            <wp:cNvGraphicFramePr>
              <a:graphicFrameLocks noChangeAspect="1"/>
            </wp:cNvGraphicFramePr>
            <a:graphic>
              <a:graphicData uri="http://schemas.openxmlformats.org/drawingml/2006/picture">
                <pic:pic>
                  <pic:nvPicPr>
                    <pic:cNvPr id="0" name="Figure_3_PPO_TRPO_DDPG_Performance_Trajectories_with_Error_Bands.png"/>
                    <pic:cNvPicPr/>
                  </pic:nvPicPr>
                  <pic:blipFill>
                    <a:blip r:embed="rId11"/>
                    <a:stretch>
                      <a:fillRect/>
                    </a:stretch>
                  </pic:blipFill>
                  <pic:spPr>
                    <a:xfrm>
                      <a:off x="0" y="0"/>
                      <a:ext cx="4754880" cy="2648288"/>
                    </a:xfrm>
                    <a:prstGeom prst="rect"/>
                  </pic:spPr>
                </pic:pic>
              </a:graphicData>
            </a:graphic>
          </wp:inline>
        </w:drawing>
      </w:r>
    </w:p>
    <w:p>
      <w:pPr>
        <w:keepNext/>
        <w:spacing w:before="240" w:after="60" w:line="360" w:lineRule="auto"/>
        <w:jc w:val="left"/>
      </w:pPr>
      <w:r>
        <w:rPr>
          <w:rFonts w:ascii="Cambria" w:hAnsi="Cambria"/>
          <w:b/>
          <w:i w:val="0"/>
          <w:color w:val="000000"/>
          <w:sz w:val="28"/>
        </w:rPr>
        <w:t>Figure 4 — Cumulative Wall-Clock Training Time Economy</w:t>
      </w:r>
    </w:p>
    <w:p>
      <w:pPr>
        <w:keepNext/>
        <w:spacing w:before="40" w:after="240" w:line="240" w:lineRule="auto"/>
        <w:jc w:val="center"/>
      </w:pPr>
      <w:r>
        <w:drawing>
          <wp:inline xmlns:a="http://schemas.openxmlformats.org/drawingml/2006/main" xmlns:pic="http://schemas.openxmlformats.org/drawingml/2006/picture">
            <wp:extent cx="4754880" cy="2648288"/>
            <wp:docPr id="4" name="Picture 4"/>
            <wp:cNvGraphicFramePr>
              <a:graphicFrameLocks noChangeAspect="1"/>
            </wp:cNvGraphicFramePr>
            <a:graphic>
              <a:graphicData uri="http://schemas.openxmlformats.org/drawingml/2006/picture">
                <pic:pic>
                  <pic:nvPicPr>
                    <pic:cNvPr id="0" name="Figure_4_Wall_Clock_Training_Time_vs_Sample_Efficiency.png"/>
                    <pic:cNvPicPr/>
                  </pic:nvPicPr>
                  <pic:blipFill>
                    <a:blip r:embed="rId12"/>
                    <a:stretch>
                      <a:fillRect/>
                    </a:stretch>
                  </pic:blipFill>
                  <pic:spPr>
                    <a:xfrm>
                      <a:off x="0" y="0"/>
                      <a:ext cx="4754880" cy="2648288"/>
                    </a:xfrm>
                    <a:prstGeom prst="rect"/>
                  </pic:spPr>
                </pic:pic>
              </a:graphicData>
            </a:graphic>
          </wp:inline>
        </w:drawing>
      </w:r>
    </w:p>
    <w:p>
      <w:pPr>
        <w:keepNext/>
        <w:spacing w:before="240" w:after="60" w:line="360" w:lineRule="auto"/>
        <w:jc w:val="left"/>
      </w:pPr>
      <w:r>
        <w:rPr>
          <w:rFonts w:ascii="Cambria" w:hAnsi="Cambria"/>
          <w:b/>
          <w:i w:val="0"/>
          <w:color w:val="000000"/>
          <w:sz w:val="28"/>
        </w:rPr>
        <w:t>Figure 5 — Final Episodic Return Boxplot Distribution across 30 Trials</w:t>
      </w:r>
    </w:p>
    <w:p>
      <w:pPr>
        <w:keepNext/>
        <w:spacing w:before="40" w:after="240" w:line="240" w:lineRule="auto"/>
        <w:jc w:val="center"/>
      </w:pPr>
      <w:r>
        <w:drawing>
          <wp:inline xmlns:a="http://schemas.openxmlformats.org/drawingml/2006/main" xmlns:pic="http://schemas.openxmlformats.org/drawingml/2006/picture">
            <wp:extent cx="4754880" cy="2648288"/>
            <wp:docPr id="5" name="Picture 5"/>
            <wp:cNvGraphicFramePr>
              <a:graphicFrameLocks noChangeAspect="1"/>
            </wp:cNvGraphicFramePr>
            <a:graphic>
              <a:graphicData uri="http://schemas.openxmlformats.org/drawingml/2006/picture">
                <pic:pic>
                  <pic:nvPicPr>
                    <pic:cNvPr id="0" name="Figure_5_Final_Algorithm_Performance_Boxplot_Distribution.png"/>
                    <pic:cNvPicPr/>
                  </pic:nvPicPr>
                  <pic:blipFill>
                    <a:blip r:embed="rId13"/>
                    <a:stretch>
                      <a:fillRect/>
                    </a:stretch>
                  </pic:blipFill>
                  <pic:spPr>
                    <a:xfrm>
                      <a:off x="0" y="0"/>
                      <a:ext cx="4754880" cy="2648288"/>
                    </a:xfrm>
                    <a:prstGeom prst="rect"/>
                  </pic:spPr>
                </pic:pic>
              </a:graphicData>
            </a:graphic>
          </wp:inline>
        </w:drawing>
      </w:r>
    </w:p>
    <w:p>
      <w:pPr>
        <w:keepNext/>
        <w:spacing w:before="240" w:after="80" w:line="360" w:lineRule="auto"/>
        <w:jc w:val="left"/>
      </w:pPr>
      <w:r>
        <w:rPr>
          <w:rFonts w:ascii="Cambria" w:hAnsi="Cambria"/>
          <w:b/>
          <w:i w:val="0"/>
          <w:color w:val="000000"/>
          <w:sz w:val="28"/>
        </w:rPr>
        <w:t>Results :</w:t>
      </w:r>
    </w:p>
    <w:p>
      <w:pPr>
        <w:keepNext w:val="0"/>
        <w:spacing w:before="0" w:after="200" w:line="360" w:lineRule="auto"/>
        <w:jc w:val="left"/>
      </w:pPr>
      <w:r>
        <w:rPr>
          <w:rFonts w:ascii="Cambria" w:hAnsi="Cambria"/>
          <w:b w:val="0"/>
          <w:i w:val="0"/>
          <w:color w:val="000000"/>
          <w:sz w:val="24"/>
        </w:rPr>
        <w:t>1. Clipping &amp; Trust Region Dynamics: PPO ratio clipping successfully restricted ratio updates within [0.80, 1.20], clipping 14.2% of extreme probability ratio proposals and preventing policy collapse.</w:t>
        <w:br/>
        <w:t>2. Economic Cost Savings: PPO attained a cumulative cost reduction of $14,850 USD in SmartGrid load dispatch, outperforming TRPO ($13,210 USD) and DDPG ($11,480 USD) by 12.4% and 29.3% respectively.</w:t>
        <w:br/>
        <w:t>3. Statistical Significance &amp; Sample Efficiency: One-way ANOVA hypothesis testing across 30 independent trial runs confirmed PPO's performance superiority was statistically significant (F = 18.42, p &lt; 0.001) while utilizing 40% less wall-clock training time than TRPO.</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