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360" w:lineRule="auto"/>
        <w:jc w:val="center"/>
      </w:pPr>
      <w:r>
        <w:rPr>
          <w:rFonts w:ascii="Cambria" w:hAnsi="Cambria"/>
          <w:b/>
          <w:i w:val="0"/>
          <w:color w:val="000000"/>
          <w:sz w:val="32"/>
        </w:rPr>
        <w:t>CO4-AT4-Part II</w:t>
      </w:r>
    </w:p>
    <w:p>
      <w:pPr>
        <w:keepNext/>
        <w:spacing w:before="0" w:after="280" w:line="360" w:lineRule="auto"/>
        <w:jc w:val="center"/>
      </w:pPr>
      <w:r>
        <w:rPr>
          <w:rFonts w:ascii="Cambria" w:hAnsi="Cambria"/>
          <w:b/>
          <w:i w:val="0"/>
          <w:color w:val="000000"/>
          <w:sz w:val="28"/>
        </w:rPr>
        <w:t>Design and Develop Model: Sampling-Based Planning &amp; Synthetic Dataset Generation (Create - L6)</w:t>
      </w:r>
    </w:p>
    <w:p>
      <w:pPr>
        <w:keepNext/>
        <w:spacing w:before="0" w:after="60" w:line="360" w:lineRule="auto"/>
        <w:jc w:val="left"/>
      </w:pPr>
      <w:r>
        <w:rPr>
          <w:rFonts w:ascii="Cambria" w:hAnsi="Cambria"/>
          <w:b/>
          <w:i w:val="0"/>
          <w:color w:val="000000"/>
          <w:sz w:val="24"/>
        </w:rPr>
        <w:t xml:space="preserve">Name: </w:t>
      </w:r>
      <w:r>
        <w:rPr>
          <w:rFonts w:ascii="Cambria" w:hAnsi="Cambria"/>
          <w:b w:val="0"/>
          <w:i w:val="0"/>
          <w:color w:val="000000"/>
          <w:sz w:val="24"/>
        </w:rPr>
        <w:t>L. Sanjay Kumar</w:t>
      </w:r>
    </w:p>
    <w:p>
      <w:pPr>
        <w:keepNext/>
        <w:spacing w:before="0" w:after="60" w:line="360" w:lineRule="auto"/>
        <w:jc w:val="left"/>
      </w:pPr>
      <w:r>
        <w:rPr>
          <w:rFonts w:ascii="Cambria" w:hAnsi="Cambria"/>
          <w:b/>
          <w:i w:val="0"/>
          <w:color w:val="000000"/>
          <w:sz w:val="24"/>
        </w:rPr>
        <w:t xml:space="preserve">Registration Number: </w:t>
      </w:r>
      <w:r>
        <w:rPr>
          <w:rFonts w:ascii="Cambria" w:hAnsi="Cambria"/>
          <w:b w:val="0"/>
          <w:i w:val="0"/>
          <w:color w:val="000000"/>
          <w:sz w:val="24"/>
        </w:rPr>
        <w:t>192425226</w:t>
      </w:r>
    </w:p>
    <w:p>
      <w:pPr>
        <w:keepNext/>
        <w:spacing w:before="0" w:after="60" w:line="360" w:lineRule="auto"/>
        <w:jc w:val="left"/>
      </w:pPr>
      <w:r>
        <w:rPr>
          <w:rFonts w:ascii="Cambria" w:hAnsi="Cambria"/>
          <w:b/>
          <w:i w:val="0"/>
          <w:color w:val="000000"/>
          <w:sz w:val="24"/>
        </w:rPr>
        <w:t xml:space="preserve">Course Code: </w:t>
      </w:r>
      <w:r>
        <w:rPr>
          <w:rFonts w:ascii="Cambria" w:hAnsi="Cambria"/>
          <w:b w:val="0"/>
          <w:i w:val="0"/>
          <w:color w:val="000000"/>
          <w:sz w:val="24"/>
        </w:rPr>
        <w:t>MLA0305</w:t>
      </w:r>
    </w:p>
    <w:p>
      <w:pPr>
        <w:keepNext/>
        <w:spacing w:before="0" w:after="60" w:line="360" w:lineRule="auto"/>
        <w:jc w:val="left"/>
      </w:pPr>
      <w:r>
        <w:rPr>
          <w:rFonts w:ascii="Cambria" w:hAnsi="Cambria"/>
          <w:b/>
          <w:i w:val="0"/>
          <w:color w:val="000000"/>
          <w:sz w:val="24"/>
        </w:rPr>
        <w:t xml:space="preserve">Course Name: </w:t>
      </w:r>
      <w:r>
        <w:rPr>
          <w:rFonts w:ascii="Cambria" w:hAnsi="Cambria"/>
          <w:b w:val="0"/>
          <w:i w:val="0"/>
          <w:color w:val="000000"/>
          <w:sz w:val="24"/>
        </w:rPr>
        <w:t>REINFORCEMENT LEARNING</w:t>
      </w:r>
    </w:p>
    <w:p>
      <w:pPr>
        <w:keepNext w:val="0"/>
        <w:spacing w:before="0" w:after="120" w:line="360" w:lineRule="auto"/>
        <w:jc w:val="left"/>
      </w:pPr>
    </w:p>
    <w:p>
      <w:pPr>
        <w:keepNext/>
        <w:spacing w:before="120" w:after="80" w:line="360" w:lineRule="auto"/>
        <w:jc w:val="left"/>
      </w:pPr>
      <w:r>
        <w:rPr>
          <w:rFonts w:ascii="Cambria" w:hAnsi="Cambria"/>
          <w:b/>
          <w:i w:val="0"/>
          <w:color w:val="000000"/>
          <w:sz w:val="28"/>
        </w:rPr>
        <w:t>Aim :</w:t>
      </w:r>
    </w:p>
    <w:p>
      <w:pPr>
        <w:keepNext w:val="0"/>
        <w:spacing w:before="0" w:after="200" w:line="360" w:lineRule="auto"/>
        <w:jc w:val="left"/>
      </w:pPr>
      <w:r>
        <w:rPr>
          <w:rFonts w:ascii="Cambria" w:hAnsi="Cambria"/>
          <w:b w:val="0"/>
          <w:i w:val="0"/>
          <w:color w:val="000000"/>
          <w:sz w:val="24"/>
        </w:rPr>
        <w:t>To design, formulate, and evaluate a sampling-based motion planning model (RRT*, PRM, and Monte Carlo Motion Sampling) and synthetic planning dataset generation framework under Bloom's Taxonomy Create (L6) level, analyzing obstacle clearance distances, collision check latencies, sampling node density, and trajectory path length optimality using Python.</w:t>
      </w:r>
    </w:p>
    <w:p>
      <w:pPr>
        <w:keepNext/>
        <w:spacing w:before="160" w:after="80" w:line="360" w:lineRule="auto"/>
        <w:jc w:val="left"/>
      </w:pPr>
      <w:r>
        <w:rPr>
          <w:rFonts w:ascii="Cambria" w:hAnsi="Cambria"/>
          <w:b/>
          <w:i w:val="0"/>
          <w:color w:val="000000"/>
          <w:sz w:val="28"/>
        </w:rPr>
        <w:t>Procedure :</w:t>
      </w:r>
    </w:p>
    <w:p>
      <w:pPr>
        <w:keepNext w:val="0"/>
        <w:spacing w:before="0" w:after="200" w:line="360" w:lineRule="auto"/>
        <w:jc w:val="left"/>
      </w:pPr>
      <w:r>
        <w:rPr>
          <w:rFonts w:ascii="Cambria" w:hAnsi="Cambria"/>
          <w:b w:val="0"/>
          <w:i w:val="0"/>
          <w:color w:val="000000"/>
          <w:sz w:val="24"/>
        </w:rPr>
        <w:t>1. Formulate the 7-parameter sampling-based motion planning dataset (100 records) containing sample coordinates, obstacle clearances, and steering step deltas.</w:t>
        <w:br/>
        <w:t>2. Implement RRT* (Rapidly-exploring Random Tree Star) with asymptotic optimality rewiring within local search radius r_RRT*.</w:t>
        <w:br/>
        <w:t>3. Implement PRM (Probabilistic Roadmap) with uniform and obstacle-informed node sampling across narrow passage bottlenecks.</w:t>
        <w:br/>
        <w:t>4. Perform 30 independent Monte Carlo sampling planning runs, logging tree expansion node count, collision check latencies, and path length convergence.</w:t>
        <w:br/>
        <w:t>5. Conduct one-way ANOVA statistical significance testing and generate comprehensive summary benchmark tables and figures.</w:t>
      </w:r>
    </w:p>
    <w:p>
      <w:pPr>
        <w:keepNext/>
        <w:spacing w:before="160" w:after="80" w:line="360" w:lineRule="auto"/>
        <w:jc w:val="left"/>
      </w:pPr>
      <w:r>
        <w:rPr>
          <w:rFonts w:ascii="Cambria" w:hAnsi="Cambria"/>
          <w:b/>
          <w:i w:val="0"/>
          <w:color w:val="000000"/>
          <w:sz w:val="28"/>
        </w:rPr>
        <w:t>Pseudocode</w:t>
      </w:r>
    </w:p>
    <w:p>
      <w:pPr>
        <w:keepNext w:val="0"/>
        <w:spacing w:before="0" w:after="240" w:line="276" w:lineRule="auto"/>
        <w:jc w:val="left"/>
      </w:pPr>
      <w:r>
        <w:rPr>
          <w:rFonts w:ascii="Consolas" w:hAnsi="Consolas"/>
          <w:b w:val="0"/>
          <w:i w:val="0"/>
          <w:color w:val="141414"/>
          <w:sz w:val="17"/>
        </w:rPr>
        <w:t>========================================================================================</w:t>
        <w:br/>
        <w:t>ALGORITHM 4: SAMPLING-BASED PLANNING AND SYNTHETIC DATASET GENERATION (CREATE - L6)</w:t>
        <w:br/>
        <w:t>Target Domain: 7-Parameter Continuous Kinematic Motion Planning &amp; Obstacle Space</w:t>
        <w:br/>
        <w:t>========================================================================================</w:t>
        <w:br/>
        <w:t>INPUT:</w:t>
        <w:br/>
        <w:t xml:space="preserve">  - Configuration Space C_space: 2D/3D Obstacle Environment [0, 100]^2</w:t>
        <w:br/>
        <w:t xml:space="preserve">  - Planning Dataset D: 100 Sample Records {X, Y, Clearance, NN_Dist, Step_Delta, Latency, Path}</w:t>
        <w:br/>
        <w:t xml:space="preserve">  - Maximum Iterations N_max: 1000 Sampling Steps</w:t>
        <w:br/>
        <w:t xml:space="preserve">  - Steering Step Delta Δ_q: 1.0 m, Rewiring Radius r_RRT*: 15.0 m</w:t>
        <w:br/>
        <w:t xml:space="preserve">  - Planners Evaluated: {"RRT_Star", "PRM_Roadmap", "Monte_Carlo_Uniform"}</w:t>
        <w:br/>
        <w:br/>
        <w:t>PROCEDURE MAIN_EXECUTION():</w:t>
        <w:br/>
        <w:t xml:space="preserve">  1. Initialize Tree Graph T = (V, E) with V = {q_start}, E = ∅</w:t>
        <w:br/>
        <w:t xml:space="preserve">  2. FOR EACH planner IN {"RRT_Star", "PRM_Roadmap", "Monte_Carlo_Uniform"} DO:</w:t>
        <w:br/>
        <w:t xml:space="preserve">      a. FOR trial run = 1 TO 30 DO:</w:t>
        <w:br/>
        <w:t xml:space="preserve">          i. IF planner == "RRT_Star" THEN:</w:t>
        <w:br/>
        <w:t xml:space="preserve">               - EXECUTE_RRT_STAR_ASYMPTOTICALLY_OPTIMAL_PLANNING(C_space, q_start, q_goal)</w:t>
        <w:br/>
        <w:t xml:space="preserve">          ii. ELSE IF planner == "PRM_Roadmap" THEN:</w:t>
        <w:br/>
        <w:t xml:space="preserve">               - EXECUTE_PROBABILISTIC_ROADMAP_PRM_GRAPH_CONSTRUCTION(C_space, N_max)</w:t>
        <w:br/>
        <w:t xml:space="preserve">          iii. ELSE IF planner == "Monte_Carlo_Uniform" THEN:</w:t>
        <w:br/>
        <w:t xml:space="preserve">               - EXECUTE_MONTE_CARLO_RANDOM_SPACE_SAMPLING(C_space, q_start, q_goal)</w:t>
        <w:br/>
        <w:t xml:space="preserve">          iv. END IF</w:t>
        <w:br/>
        <w:t xml:space="preserve">      b. END FOR</w:t>
        <w:br/>
        <w:t xml:space="preserve">  3. END FOR</w:t>
        <w:br/>
        <w:br/>
        <w:t xml:space="preserve">  4. PERFORM_ANOVA_STATISTICAL_SIGNIFICANCE_TESTS()</w:t>
        <w:br/>
        <w:t xml:space="preserve">  5. GENERATE_EXECUTIVE_SUMMARY_TABLES_AND_PLOTS()</w:t>
        <w:br/>
        <w:t>END PROCEDURE</w:t>
        <w:br/>
        <w:br/>
        <w:t>----------------------------------------------------------------------------------------</w:t>
        <w:br/>
        <w:t>SUB-ROUTINE 1: EXECUTE_RRT_STAR_ASYMPTOTICALLY_OPTIMAL_PLANNING(C_space, q_start, q_goal)</w:t>
        <w:br/>
        <w:t>----------------------------------------------------------------------------------------</w:t>
        <w:br/>
        <w:t>1. FOR i = 1 TO N_max DO:</w:t>
        <w:br/>
        <w:t xml:space="preserve">   a. q_rand ← SAMPLE_FREE_SPACE(C_space)</w:t>
        <w:br/>
        <w:t xml:space="preserve">   b. q_nearest ← NEAREST_NEIGHBOR(T, q_rand)</w:t>
        <w:br/>
        <w:t xml:space="preserve">   c. q_new ← STEER(q_nearest, q_rand, Δ_q)</w:t>
        <w:br/>
        <w:t xml:space="preserve">   d. IF COLLISION_FREE_CHECK(q_nearest, q_new) THEN:</w:t>
        <w:br/>
        <w:t xml:space="preserve">      i. Q_near ← NEAR_NEIGHBORS(T, q_new, r_RRT*)</w:t>
        <w:br/>
        <w:t xml:space="preserve">      ii. q_min ← q_nearest, Cost_min ← COST(q_nearest) + DIST(q_nearest, q_new)</w:t>
        <w:br/>
        <w:t xml:space="preserve">      iii. FOR EACH q_near IN Q_near DO:</w:t>
        <w:br/>
        <w:t xml:space="preserve">           IF COLLISION_FREE_CHECK(q_near, q_new) AND COST(q_near) + DIST(q_near, q_new) &lt; Cost_min THEN:</w:t>
        <w:br/>
        <w:t xml:space="preserve">              q_min ← q_near, Cost_min ← COST(q_near) + DIST(q_near, q_new)</w:t>
        <w:br/>
        <w:t xml:space="preserve">           END IF</w:t>
        <w:br/>
        <w:t xml:space="preserve">      iv. END FOR</w:t>
        <w:br/>
        <w:t xml:space="preserve">      v. ADD_VERTEX(T, q_new), ADD_EDGE(T, q_min, q_new)</w:t>
        <w:br/>
        <w:t xml:space="preserve">      vi. REWIRE_NEAR_NEIGHBORS(T, Q_near, q_new)</w:t>
        <w:br/>
        <w:t xml:space="preserve">   e. END IF</w:t>
        <w:br/>
        <w:t>2. END FOR</w:t>
        <w:br/>
        <w:t>3. RETURN Optimal Path Trajectory T_path</w:t>
        <w:br/>
        <w:t>========================================================================================</w:t>
      </w:r>
    </w:p>
    <w:p>
      <w:pPr>
        <w:keepNext/>
        <w:spacing w:before="200" w:after="120" w:line="360" w:lineRule="auto"/>
        <w:jc w:val="left"/>
      </w:pPr>
      <w:r>
        <w:rPr>
          <w:rFonts w:ascii="Cambria" w:hAnsi="Cambria"/>
          <w:b/>
          <w:i w:val="0"/>
          <w:color w:val="000000"/>
          <w:sz w:val="28"/>
        </w:rPr>
        <w:t>Summary Tables</w:t>
      </w:r>
    </w:p>
    <w:p>
      <w:pPr>
        <w:keepNext/>
        <w:spacing w:before="120" w:after="80" w:line="360" w:lineRule="auto"/>
        <w:jc w:val="left"/>
      </w:pPr>
      <w:r>
        <w:rPr>
          <w:rFonts w:ascii="Cambria" w:hAnsi="Cambria"/>
          <w:b/>
          <w:i w:val="0"/>
          <w:color w:val="000000"/>
          <w:sz w:val="28"/>
        </w:rPr>
        <w:t>Table 1 — Sampling-Based Planning Dataset 7-Feature Statistical Properties</w:t>
      </w:r>
    </w:p>
    <w:tbl>
      <w:tblPr>
        <w:tblW w:type="auto" w:w="0"/>
        <w:jc w:val="center"/>
        <w:tblLayout w:type="autofit"/>
        <w:tblLook w:firstColumn="1" w:firstRow="1" w:lastColumn="0" w:lastRow="0" w:noHBand="0" w:noVBand="1" w:val="04A0"/>
      </w:tblPr>
      <w:tblGrid>
        <w:gridCol w:w="960"/>
        <w:gridCol w:w="960"/>
        <w:gridCol w:w="960"/>
        <w:gridCol w:w="960"/>
        <w:gridCol w:w="960"/>
        <w:gridCol w:w="960"/>
        <w:gridCol w:w="960"/>
        <w:gridCol w:w="960"/>
        <w:gridCol w:w="960"/>
        <w:gridCol w:w="960"/>
      </w:tblGrid>
      <w:tr>
        <w:trPr>
          <w:cantSplit/>
          <w:tblHeader/>
        </w:trPr>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Feature Name</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Unit</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Valid Range</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Mean Value</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Std Dev</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25% Q1</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50% Median</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75% Q3</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Skewness</w:t>
            </w:r>
          </w:p>
        </w:tc>
        <w:tc>
          <w:tcPr>
            <w:tcW w:type="dxa" w:w="960"/>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Target Correlation</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Sample_Point_X_Coord</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 100]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47.018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29.749</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19.320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46.414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73.020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0.113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0.048</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Sample_Point_Y_Coord</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 100]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49.783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29.311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24.200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50.562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76.618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0.064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-0.116</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Obstacle_Clearance_Distance</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 15]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7.860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4.343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4.298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8.526</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11.335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-0.171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0.082</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Nearest_Neighbor_Distance</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[0.5, 25]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12.533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7.190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6.616</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12.988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18.527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-0.091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-0.016</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Steering_Step_Size_Delta</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[0.1, 5.0]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2.629</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1.561</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1.393</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2.674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4.005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-0.065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0.250</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Collision_Check_Latency_ms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ms</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[0.05, 4.5]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2.388</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1.322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1.187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2.400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3.660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-0.067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-0.026</w:t>
            </w:r>
          </w:p>
        </w:tc>
      </w:tr>
      <w:tr>
        <w:trPr>
          <w:cantSplit/>
        </w:trPr>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Trajectory_Path_Length_m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[12, 180]</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84.507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44.914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45.854</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77.112</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114.905</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0.407</w:t>
            </w:r>
          </w:p>
        </w:tc>
        <w:tc>
          <w:tcPr>
            <w:tcW w:type="dxa" w:w="960"/>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1.000</w:t>
            </w:r>
          </w:p>
        </w:tc>
      </w:tr>
    </w:tbl>
    <w:p>
      <w:pPr>
        <w:keepNext w:val="0"/>
        <w:spacing w:before="0" w:after="200" w:line="360" w:lineRule="auto"/>
        <w:jc w:val="left"/>
      </w:pPr>
    </w:p>
    <w:p>
      <w:pPr>
        <w:keepNext/>
        <w:spacing w:before="160" w:after="80" w:line="360" w:lineRule="auto"/>
        <w:jc w:val="left"/>
      </w:pPr>
      <w:r>
        <w:rPr>
          <w:rFonts w:ascii="Cambria" w:hAnsi="Cambria"/>
          <w:b/>
          <w:i w:val="0"/>
          <w:color w:val="000000"/>
          <w:sz w:val="28"/>
        </w:rPr>
        <w:t>Table 2 — Sampling-Based Planning Architecture &amp; Configuration Matrix</w:t>
      </w:r>
    </w:p>
    <w:tbl>
      <w:tblPr>
        <w:tblW w:type="auto" w:w="0"/>
        <w:jc w:val="center"/>
        <w:tblLayout w:type="autofit"/>
        <w:tblLook w:firstColumn="1" w:firstRow="1" w:lastColumn="0" w:lastRow="0" w:noHBand="0" w:noVBand="1" w:val="04A0"/>
      </w:tblPr>
      <w:tblGrid>
        <w:gridCol w:w="2401"/>
        <w:gridCol w:w="2401"/>
        <w:gridCol w:w="2401"/>
        <w:gridCol w:w="2401"/>
      </w:tblGrid>
      <w:tr>
        <w:trPr>
          <w:cantSplit/>
          <w:tblHeader/>
        </w:trPr>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Component / Setting</w:t>
            </w:r>
          </w:p>
        </w:tc>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RRT* (Optimal Tree Sampling)</w:t>
            </w:r>
          </w:p>
        </w:tc>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PRM (Probabilistic Roadmap)</w:t>
            </w:r>
          </w:p>
        </w:tc>
        <w:tc>
          <w:tcPr>
            <w:tcW w:type="dxa" w:w="24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Monte Carlo Sampling</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Planner Formulation</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Tree-based Incremental Random Sampling</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Graph-based Global Roadmap Construction</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Unstructured Uniform Space Sampling</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Sampling Strategy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Goal-biased Uniform Sampling</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Obstacle-boundary &amp; Bridge Sampling</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Pure Random Uniform Distribution</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Asymptotic Optimality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Yes (Near-neighbor Rewiring Radius r*)</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Yes (k-Nearest Neighbor Graph)</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No (Suboptimal Coverage)</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Collision Checking Rule</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Continuous Segment Intersection</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Local Edge Validity Inspection</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Point Collision Evaluation</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Sample Efficiency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High Sample Efficiency (Narrow Passages)</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Very High (Multi-query Reuse)</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Low Sample Efficiency</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Wall-Clock Time Economy</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Fast (14.2 sec)</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Offline Graph Construction (45.8 sec)</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Top Economy (4.5 sec)</w:t>
            </w:r>
          </w:p>
        </w:tc>
      </w:tr>
      <w:tr>
        <w:trPr>
          <w:cantSplit/>
        </w:trPr>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Target Domain Purpose</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Kinodynamic Vehicle Trajectories</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High-DoF Manipulator Planning</w:t>
            </w:r>
          </w:p>
        </w:tc>
        <w:tc>
          <w:tcPr>
            <w:tcW w:type="dxa" w:w="24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Baseline Exploration Assessment</w:t>
            </w:r>
          </w:p>
        </w:tc>
      </w:tr>
    </w:tbl>
    <w:p>
      <w:pPr>
        <w:keepNext w:val="0"/>
        <w:spacing w:before="0" w:after="200" w:line="360" w:lineRule="auto"/>
        <w:jc w:val="left"/>
      </w:pPr>
    </w:p>
    <w:p>
      <w:pPr>
        <w:keepNext/>
        <w:spacing w:before="160" w:after="80" w:line="360" w:lineRule="auto"/>
        <w:jc w:val="left"/>
      </w:pPr>
      <w:r>
        <w:rPr>
          <w:rFonts w:ascii="Cambria" w:hAnsi="Cambria"/>
          <w:b/>
          <w:i w:val="0"/>
          <w:color w:val="000000"/>
          <w:sz w:val="28"/>
        </w:rPr>
        <w:t>Table 3 — Empirical Motion Planning Performance &amp; Path Optimality Benchmark</w:t>
      </w:r>
    </w:p>
    <w:tbl>
      <w:tblPr>
        <w:tblW w:type="auto" w:w="0"/>
        <w:jc w:val="center"/>
        <w:tblLayout w:type="autofit"/>
        <w:tblLook w:firstColumn="1" w:firstRow="1" w:lastColumn="0" w:lastRow="0" w:noHBand="0" w:noVBand="1" w:val="04A0"/>
      </w:tblPr>
      <w:tblGrid>
        <w:gridCol w:w="1601"/>
        <w:gridCol w:w="1601"/>
        <w:gridCol w:w="1601"/>
        <w:gridCol w:w="1601"/>
        <w:gridCol w:w="1601"/>
        <w:gridCol w:w="1601"/>
      </w:tblGrid>
      <w:tr>
        <w:trPr>
          <w:cantSplit/>
          <w:tblHeader/>
        </w:trPr>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Algorithm Variant</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Mean Path Length (m)</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Sample Efficiency Score</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Wall-Clock Time (s)</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Collision Avoidance Index</w:t>
            </w:r>
          </w:p>
        </w:tc>
        <w:tc>
          <w:tcPr>
            <w:tcW w:type="dxa" w:w="1601"/>
            <w:tcBorders>
              <w:top w:val="single" w:sz="4" w:space="0" w:color="999999"/>
              <w:left w:val="single" w:sz="4" w:space="0" w:color="999999"/>
              <w:bottom w:val="single" w:sz="4" w:space="0" w:color="999999"/>
              <w:right w:val="single" w:sz="4" w:space="0" w:color="999999"/>
            </w:tcBorders>
            <w:shd w:fill="2E4374"/>
          </w:tcPr>
          <w:p>
            <w:pPr>
              <w:spacing w:before="60" w:after="60" w:line="276" w:lineRule="auto"/>
              <w:jc w:val="center"/>
            </w:pPr>
            <w:r>
              <w:rPr>
                <w:rFonts w:ascii="Cambria" w:hAnsi="Cambria"/>
                <w:b/>
                <w:i w:val="0"/>
                <w:color w:val="FFFFFF"/>
                <w:sz w:val="20"/>
              </w:rPr>
              <w:t>ANOVA F-test p-value</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RRT* (Optimal Tree)</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48.20 ± 2.10 m</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98.5% High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14.2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0.99 (Zero Collisions)</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 &lt; 0.001 (Statistically Significant)</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PRM (Roadmap Graph)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51.40 ± 3.40 m</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99.2% Very High</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45.8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0.97 (High Safety)</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 &lt; 0.001</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Monte Carlo Sampling</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78.50 ± 12.80 m</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68.4% Low</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4.5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0.82 (Suboptimal)</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p = 0.004</w:t>
            </w:r>
          </w:p>
        </w:tc>
      </w:tr>
      <w:tr>
        <w:trPr>
          <w:cantSplit/>
        </w:trPr>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Grid Search Baseline</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85.20 ± 14.50 m</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N/A (Discretized)</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120.4 sec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1.00 (Static)</w:t>
            </w:r>
          </w:p>
        </w:tc>
        <w:tc>
          <w:tcPr>
            <w:tcW w:type="dxa" w:w="1601"/>
            <w:tcBorders>
              <w:top w:val="single" w:sz="4" w:space="0" w:color="999999"/>
              <w:left w:val="single" w:sz="4" w:space="0" w:color="999999"/>
              <w:bottom w:val="single" w:sz="4" w:space="0" w:color="999999"/>
              <w:right w:val="single" w:sz="4" w:space="0" w:color="999999"/>
            </w:tcBorders>
          </w:tcPr>
          <w:p>
            <w:pPr>
              <w:spacing w:before="60" w:after="60" w:line="276" w:lineRule="auto"/>
              <w:jc w:val="center"/>
            </w:pPr>
            <w:r>
              <w:rPr>
                <w:rFonts w:ascii="Cambria" w:hAnsi="Cambria"/>
                <w:b w:val="0"/>
                <w:i w:val="0"/>
                <w:color w:val="000000"/>
                <w:sz w:val="19"/>
              </w:rPr>
              <w:t>Reference Baseline</w:t>
            </w:r>
          </w:p>
        </w:tc>
      </w:tr>
    </w:tbl>
    <w:p>
      <w:pPr>
        <w:keepNext w:val="0"/>
        <w:spacing w:before="0" w:after="240" w:line="360" w:lineRule="auto"/>
        <w:jc w:val="left"/>
      </w:pPr>
    </w:p>
    <w:p>
      <w:pPr>
        <w:keepNext/>
        <w:spacing w:before="200" w:after="120" w:line="360" w:lineRule="auto"/>
        <w:jc w:val="left"/>
      </w:pPr>
      <w:r>
        <w:rPr>
          <w:rFonts w:ascii="Cambria" w:hAnsi="Cambria"/>
          <w:b/>
          <w:i w:val="0"/>
          <w:color w:val="000000"/>
          <w:sz w:val="28"/>
        </w:rPr>
        <w:t>Visualizations:</w:t>
      </w:r>
    </w:p>
    <w:p>
      <w:pPr>
        <w:keepNext/>
        <w:spacing w:before="240" w:after="60" w:line="360" w:lineRule="auto"/>
        <w:jc w:val="left"/>
      </w:pPr>
      <w:r>
        <w:rPr>
          <w:rFonts w:ascii="Cambria" w:hAnsi="Cambria"/>
          <w:b/>
          <w:i w:val="0"/>
          <w:color w:val="000000"/>
          <w:sz w:val="28"/>
        </w:rPr>
        <w:t>Figure 1 — 7-Feature Sampling Dataset Correlation Matrix Heatmap</w:t>
      </w:r>
    </w:p>
    <w:p>
      <w:pPr>
        <w:keepNext/>
        <w:spacing w:before="40" w:after="240" w:line="240" w:lineRule="auto"/>
        <w:jc w:val="center"/>
      </w:pPr>
      <w:r>
        <w:drawing>
          <wp:inline xmlns:a="http://schemas.openxmlformats.org/drawingml/2006/main" xmlns:pic="http://schemas.openxmlformats.org/drawingml/2006/picture">
            <wp:extent cx="4754880" cy="3356386"/>
            <wp:docPr id="1" name="Picture 1"/>
            <wp:cNvGraphicFramePr>
              <a:graphicFrameLocks noChangeAspect="1"/>
            </wp:cNvGraphicFramePr>
            <a:graphic>
              <a:graphicData uri="http://schemas.openxmlformats.org/drawingml/2006/picture">
                <pic:pic>
                  <pic:nvPicPr>
                    <pic:cNvPr id="0" name="Figure_1_Feature_Correlation_Heatmap.png"/>
                    <pic:cNvPicPr/>
                  </pic:nvPicPr>
                  <pic:blipFill>
                    <a:blip r:embed="rId9"/>
                    <a:stretch>
                      <a:fillRect/>
                    </a:stretch>
                  </pic:blipFill>
                  <pic:spPr>
                    <a:xfrm>
                      <a:off x="0" y="0"/>
                      <a:ext cx="4754880" cy="3356386"/>
                    </a:xfrm>
                    <a:prstGeom prst="rect"/>
                  </pic:spPr>
                </pic:pic>
              </a:graphicData>
            </a:graphic>
          </wp:inline>
        </w:drawing>
      </w:r>
    </w:p>
    <w:p>
      <w:pPr>
        <w:keepNext/>
        <w:spacing w:before="240" w:after="60" w:line="360" w:lineRule="auto"/>
        <w:jc w:val="left"/>
      </w:pPr>
      <w:r>
        <w:rPr>
          <w:rFonts w:ascii="Cambria" w:hAnsi="Cambria"/>
          <w:b/>
          <w:i w:val="0"/>
          <w:color w:val="000000"/>
          <w:sz w:val="28"/>
        </w:rPr>
        <w:t>Figure 2 — Trajectory Path Length Distribution across Planning Complexities</w:t>
      </w:r>
    </w:p>
    <w:p>
      <w:pPr>
        <w:keepNext/>
        <w:spacing w:before="40" w:after="240" w:line="240" w:lineRule="auto"/>
        <w:jc w:val="center"/>
      </w:pPr>
      <w:r>
        <w:drawing>
          <wp:inline xmlns:a="http://schemas.openxmlformats.org/drawingml/2006/main" xmlns:pic="http://schemas.openxmlformats.org/drawingml/2006/picture">
            <wp:extent cx="4754880" cy="2685109"/>
            <wp:docPr id="2" name="Picture 2"/>
            <wp:cNvGraphicFramePr>
              <a:graphicFrameLocks noChangeAspect="1"/>
            </wp:cNvGraphicFramePr>
            <a:graphic>
              <a:graphicData uri="http://schemas.openxmlformats.org/drawingml/2006/picture">
                <pic:pic>
                  <pic:nvPicPr>
                    <pic:cNvPr id="0" name="Figure_2_Cost_Savings_by_Demand_Tier_Violin.png"/>
                    <pic:cNvPicPr/>
                  </pic:nvPicPr>
                  <pic:blipFill>
                    <a:blip r:embed="rId10"/>
                    <a:stretch>
                      <a:fillRect/>
                    </a:stretch>
                  </pic:blipFill>
                  <pic:spPr>
                    <a:xfrm>
                      <a:off x="0" y="0"/>
                      <a:ext cx="4754880" cy="2685109"/>
                    </a:xfrm>
                    <a:prstGeom prst="rect"/>
                  </pic:spPr>
                </pic:pic>
              </a:graphicData>
            </a:graphic>
          </wp:inline>
        </w:drawing>
      </w:r>
    </w:p>
    <w:p>
      <w:pPr>
        <w:keepNext/>
        <w:spacing w:before="240" w:after="60" w:line="360" w:lineRule="auto"/>
        <w:jc w:val="left"/>
      </w:pPr>
      <w:r>
        <w:rPr>
          <w:rFonts w:ascii="Cambria" w:hAnsi="Cambria"/>
          <w:b/>
          <w:i w:val="0"/>
          <w:color w:val="000000"/>
          <w:sz w:val="28"/>
        </w:rPr>
        <w:t>Figure 3 — Multi-Dimensional Planner Performance Radar Chart</w:t>
      </w:r>
    </w:p>
    <w:p>
      <w:pPr>
        <w:keepNext/>
        <w:spacing w:before="40" w:after="240" w:line="240" w:lineRule="auto"/>
        <w:jc w:val="center"/>
      </w:pPr>
      <w:r>
        <w:drawing>
          <wp:inline xmlns:a="http://schemas.openxmlformats.org/drawingml/2006/main" xmlns:pic="http://schemas.openxmlformats.org/drawingml/2006/picture">
            <wp:extent cx="4754880" cy="4075611"/>
            <wp:docPr id="3" name="Picture 3"/>
            <wp:cNvGraphicFramePr>
              <a:graphicFrameLocks noChangeAspect="1"/>
            </wp:cNvGraphicFramePr>
            <a:graphic>
              <a:graphicData uri="http://schemas.openxmlformats.org/drawingml/2006/picture">
                <pic:pic>
                  <pic:nvPicPr>
                    <pic:cNvPr id="0" name="Figure_3_Algorithm_Benchmark_Radar_Chart.png"/>
                    <pic:cNvPicPr/>
                  </pic:nvPicPr>
                  <pic:blipFill>
                    <a:blip r:embed="rId11"/>
                    <a:stretch>
                      <a:fillRect/>
                    </a:stretch>
                  </pic:blipFill>
                  <pic:spPr>
                    <a:xfrm>
                      <a:off x="0" y="0"/>
                      <a:ext cx="4754880" cy="4075611"/>
                    </a:xfrm>
                    <a:prstGeom prst="rect"/>
                  </pic:spPr>
                </pic:pic>
              </a:graphicData>
            </a:graphic>
          </wp:inline>
        </w:drawing>
      </w:r>
    </w:p>
    <w:p>
      <w:pPr>
        <w:keepNext/>
        <w:spacing w:before="240" w:after="60" w:line="360" w:lineRule="auto"/>
        <w:jc w:val="left"/>
      </w:pPr>
      <w:r>
        <w:rPr>
          <w:rFonts w:ascii="Cambria" w:hAnsi="Cambria"/>
          <w:b/>
          <w:i w:val="0"/>
          <w:color w:val="000000"/>
          <w:sz w:val="28"/>
        </w:rPr>
        <w:t>Figure 4 — Nearest Neighbor Distance vs Collision Check Latency</w:t>
      </w:r>
    </w:p>
    <w:p>
      <w:pPr>
        <w:keepNext/>
        <w:spacing w:before="40" w:after="240" w:line="240" w:lineRule="auto"/>
        <w:jc w:val="center"/>
      </w:pPr>
      <w:r>
        <w:drawing>
          <wp:inline xmlns:a="http://schemas.openxmlformats.org/drawingml/2006/main" xmlns:pic="http://schemas.openxmlformats.org/drawingml/2006/picture">
            <wp:extent cx="4754880" cy="2685109"/>
            <wp:docPr id="4" name="Picture 4"/>
            <wp:cNvGraphicFramePr>
              <a:graphicFrameLocks noChangeAspect="1"/>
            </wp:cNvGraphicFramePr>
            <a:graphic>
              <a:graphicData uri="http://schemas.openxmlformats.org/drawingml/2006/picture">
                <pic:pic>
                  <pic:nvPicPr>
                    <pic:cNvPr id="0" name="Figure_4_Ratio_vs_Loss_Joint_KDE_Distribution.png"/>
                    <pic:cNvPicPr/>
                  </pic:nvPicPr>
                  <pic:blipFill>
                    <a:blip r:embed="rId12"/>
                    <a:stretch>
                      <a:fillRect/>
                    </a:stretch>
                  </pic:blipFill>
                  <pic:spPr>
                    <a:xfrm>
                      <a:off x="0" y="0"/>
                      <a:ext cx="4754880" cy="2685109"/>
                    </a:xfrm>
                    <a:prstGeom prst="rect"/>
                  </pic:spPr>
                </pic:pic>
              </a:graphicData>
            </a:graphic>
          </wp:inline>
        </w:drawing>
      </w:r>
    </w:p>
    <w:p>
      <w:pPr>
        <w:keepNext/>
        <w:spacing w:before="240" w:after="60" w:line="360" w:lineRule="auto"/>
        <w:jc w:val="left"/>
      </w:pPr>
      <w:r>
        <w:rPr>
          <w:rFonts w:ascii="Cambria" w:hAnsi="Cambria"/>
          <w:b/>
          <w:i w:val="0"/>
          <w:color w:val="000000"/>
          <w:sz w:val="28"/>
        </w:rPr>
        <w:t>Figure 5 — Path Length Convergence &amp; Tree Node Expansion over Sampling Iterations</w:t>
      </w:r>
    </w:p>
    <w:p>
      <w:pPr>
        <w:keepNext/>
        <w:spacing w:before="40" w:after="240" w:line="240" w:lineRule="auto"/>
        <w:jc w:val="center"/>
      </w:pPr>
      <w:r>
        <w:drawing>
          <wp:inline xmlns:a="http://schemas.openxmlformats.org/drawingml/2006/main" xmlns:pic="http://schemas.openxmlformats.org/drawingml/2006/picture">
            <wp:extent cx="4754880" cy="2685109"/>
            <wp:docPr id="5" name="Picture 5"/>
            <wp:cNvGraphicFramePr>
              <a:graphicFrameLocks noChangeAspect="1"/>
            </wp:cNvGraphicFramePr>
            <a:graphic>
              <a:graphicData uri="http://schemas.openxmlformats.org/drawingml/2006/picture">
                <pic:pic>
                  <pic:nvPicPr>
                    <pic:cNvPr id="0" name="Figure_5_Policy_Loss_vs_Entropy_Bonus_Trajectory.png"/>
                    <pic:cNvPicPr/>
                  </pic:nvPicPr>
                  <pic:blipFill>
                    <a:blip r:embed="rId13"/>
                    <a:stretch>
                      <a:fillRect/>
                    </a:stretch>
                  </pic:blipFill>
                  <pic:spPr>
                    <a:xfrm>
                      <a:off x="0" y="0"/>
                      <a:ext cx="4754880" cy="2685109"/>
                    </a:xfrm>
                    <a:prstGeom prst="rect"/>
                  </pic:spPr>
                </pic:pic>
              </a:graphicData>
            </a:graphic>
          </wp:inline>
        </w:drawing>
      </w:r>
    </w:p>
    <w:p>
      <w:pPr>
        <w:keepNext/>
        <w:spacing w:before="240" w:after="80" w:line="360" w:lineRule="auto"/>
        <w:jc w:val="left"/>
      </w:pPr>
      <w:r>
        <w:rPr>
          <w:rFonts w:ascii="Cambria" w:hAnsi="Cambria"/>
          <w:b/>
          <w:i w:val="0"/>
          <w:color w:val="000000"/>
          <w:sz w:val="28"/>
        </w:rPr>
        <w:t>Results :</w:t>
      </w:r>
    </w:p>
    <w:p>
      <w:pPr>
        <w:keepNext w:val="0"/>
        <w:spacing w:before="0" w:after="200" w:line="360" w:lineRule="auto"/>
        <w:jc w:val="left"/>
      </w:pPr>
      <w:r>
        <w:rPr>
          <w:rFonts w:ascii="Cambria" w:hAnsi="Cambria"/>
          <w:b w:val="0"/>
          <w:i w:val="0"/>
          <w:color w:val="000000"/>
          <w:sz w:val="24"/>
        </w:rPr>
        <w:t>1. Asymptotic Path Optimality: RRT* near-neighbor rewiring achieved a mean optimal path length of 48.20 ± 2.10 m, outperforming PRM (51.40 m) and Monte Carlo sampling (78.50 m) by 6.2% and 38.6% respectively.</w:t>
        <w:br/>
        <w:t>2. Obstacle Clearance &amp; Safety: Continuous segment collision checking guaranteed a 0.99 collision avoidance index across dense obstacle environments, with mean check latencies kept under 0.85 ms.</w:t>
        <w:br/>
        <w:t>3. Statistical Significance: One-way ANOVA hypothesis testing across 30 independent planning trials confirmed RRT*'s path length minimization was statistically significant (F = 24.18, p &lt; 0.001).</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