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EXPERIMENT-5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Model-Free Temporal Difference Control (On-Policy SARSA vs Off-Policy Q-Learning)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implement and evaluate on-policy SARSA and off-policy Q-Learning in Gymnasium CliffWalking-v0.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Setup 4x12 CliffWalking grid environment with start state (3,0) and goal state (3,11).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Initialize state-action value table Q(s,a) and learning parameters α=0.1, γ=0.99.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Execute SARSA updates using action taken under ε-greedy policy: Q ← Q + α [r + γ Q' - Q].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Execute Q-Learning updates using greedy max target: Q ← Q + α [r + γ max Q' - Q].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Count cliff fall occurrences (-100 penalty) and track path safety margins.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Construct performance summary tables and Welch's t-test evaluation.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online reward trajectories, cliff fall frequencies, dual Y-axis TD error decay, and path steps.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Compare conservative safe route vs high-risk optimal cliff edge route.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5: MODEL-FREE TEMPORAL DIFFERENCE CONTROL (ON-POLICY SARSA VS OFF-POLICY Q-LEARNING)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np.random.seed(210)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Experiment5Agent: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Experiment5Agent()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5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5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5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5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8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5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SARSA and Q-Learning temporal difference control algorithms were successfully evaluated. SARSA achieved higher online return stability by preferring a safe route away from the cliff edge under exploratory noise.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