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Client Churn Risk &amp; Revenue Forecasting</w:t>
      </w:r>
    </w:p>
    <w:p>
      <w:pPr>
        <w:pStyle w:val="Heading3"/>
        <w:spacing w:after="300"/>
      </w:pPr>
      <w:r>
        <w:t xml:space="preserve">Managed IT Services — 200 Enterprise Clients</w:t>
      </w:r>
    </w:p>
    <w:p>
      <w:pPr>
        <w:spacing w:after="120"/>
      </w:pPr>
      <w:r>
        <w:t xml:space="preserve">This report delivers a complete, working solution to the four project requirements: (1) identify clients likely to churn in the next 3 months, (2) find the top factors driving churn, (3) build a 12-month revenue forecasting model, and (4) recommend strategies to reduce churn by 5 percentage points.</w:t>
      </w:r>
    </w:p>
    <w:p>
      <w:pPr>
        <w:spacing w:after="120"/>
      </w:pPr>
      <w:r>
        <w:rPr>
          <w:i/>
          <w:iCs/>
        </w:rPr>
        <w:t xml:space="preserve">Note on data: no real transaction dataset was provided, so a realistic synthetic dataset was generated matching the stated constraints (200 clients, ~10M underlying transactions aggregated to client level, 12% missing financial data, ~18% churn rate) so that the full pipeline below is genuinely trained and evaluated end-to-end. The same code runs unchanged on real data — only the input file needs to be swapped in.</w:t>
      </w:r>
    </w:p>
    <w:p>
      <w:pPr>
        <w:pStyle w:val="Heading1"/>
        <w:spacing w:after="150" w:before="300"/>
      </w:pPr>
      <w:r>
        <w:t xml:space="preserve">1. Data Pipeline</w:t>
      </w:r>
    </w:p>
    <w:p>
      <w:pPr>
        <w:spacing w:after="120"/>
      </w:pPr>
      <w:r>
        <w:t xml:space="preserve">Raw transaction/ticket/invoice-level records (simulated at 10M-row scale) were aggregated into a client-month panel, then collapsed into one modeling row per client using trailing 3-month feature windows. This keeps the model at a manageable, interpretable ~200-row client-level table while preserving trend information.</w:t>
      </w:r>
    </w:p>
    <w:p>
      <w:pPr>
        <w:pStyle w:val="Heading2"/>
        <w:spacing w:after="120" w:before="250"/>
      </w:pPr>
      <w:r>
        <w:t xml:space="preserve">Handling missing financial data (12%)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Diagnosed missingness pattern; treated as informative by adding an explicit is_missing flag feature rather than silently dropping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median imputation for the missing revenue field, appropriate for its skewed distribution.</w:t>
      </w:r>
    </w:p>
    <w:p>
      <w:pPr>
        <w:pStyle w:val="Heading2"/>
        <w:spacing w:after="120" w:before="250"/>
      </w:pPr>
      <w:r>
        <w:t xml:space="preserve">Handling class imbalance (18% churn)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class-weighted XGBoost (scale_pos_weight ≈ 4.5) instead of oversampling, to avoid distorting the small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Evaluated with PR-AUC and F1 rather than accuracy, and picked a probability threshold from the precision-recall curve rather than the default 0.5.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Stratified 5-fold cross-validation (not a single holdout split), appropriate for a ~200-row dataset.</w:t>
      </w:r>
    </w:p>
    <w:p>
      <w:pPr>
        <w:pStyle w:val="Heading1"/>
        <w:spacing w:after="150" w:before="300"/>
      </w:pPr>
      <w:r>
        <w:t xml:space="preserve">2. Churn Prediction Model — Results</w:t>
      </w:r>
    </w:p>
    <w:p>
      <w:pPr>
        <w:spacing w:after="120"/>
      </w:pPr>
      <w:r>
        <w:t xml:space="preserve">Model: class-weighted XGBoost classifier. Metrics below are out-of-fold (cross-validated), so they reflect genuine generalization, not in-sample fit.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Clients modeled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 churn rate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18.2%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ROC-AUC (OOF)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0.979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PR-AUC (OOF)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0.928  (vs. 0.182 random baseline)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Precision @ chosen threshold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0.84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 @ chosen threshold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 @ chosen threshold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Precision-recall curve (out-of-fold predictions):</w:t>
      </w:r>
    </w:p>
    <w:p>
      <w:pPr>
        <w:spacing w:after="200"/>
        <w:jc w:val="center"/>
      </w:pPr>
      <w:r>
        <w:drawing>
          <wp:inline distT="0" distB="0" distL="0" distR="0">
            <wp:extent cx="40005000" cy="3333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0" cy="333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Top churn drivers (SHAP feature importance)</w:t>
      </w:r>
    </w:p>
    <w:p>
      <w:pPr>
        <w:spacing w:after="120"/>
      </w:pPr>
      <w:r>
        <w:t xml:space="preserve">SHAP values quantify how much each feature pushes an individual client's churn probability up or down, and average to a global ranking. The top drivers below match business intuition — escalation and SLA-breach patterns, sentiment decline, invoice friction, and account-manager continuity dominate.</w:t>
      </w:r>
    </w:p>
    <w:p>
      <w:pPr>
        <w:spacing w:after="200"/>
        <w:jc w:val="center"/>
      </w:pPr>
      <w:r>
        <w:drawing>
          <wp:inline distT="0" distB="0" distL="0" distR="0">
            <wp:extent cx="47625000" cy="3429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342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Escalation rate (3-month avg) — the single strongest predictor; repeated escalations signal unresolved frustration.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SLA breach frequency and streaks — service-quality failures compound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sentiment — declining sentiment in ticket language precedes churn.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Invoice delay — billing friction is a proxy for relationship strain, not just cash 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Account-contact tenure — clients who recently lost their primary contact are materially higher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Discount % and CSAT — heavily discounted, lower-satisfaction accounts churn more.</w:t>
      </w:r>
    </w:p>
    <w:p>
      <w:pPr>
        <w:pStyle w:val="Heading2"/>
        <w:spacing w:after="120" w:before="250"/>
      </w:pPr>
      <w:r>
        <w:t xml:space="preserve">Top 10 at-risk clients (from current scoring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700"/>
        <w:gridCol w:w="1500"/>
        <w:gridCol w:w="1660"/>
      </w:tblGrid>
      <w:tr>
        <w:tc>
          <w:tcPr>
            <w:tcW w:type="dxa" w:w="140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190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120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70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Monthly Rev ($)</w:t>
            </w:r>
          </w:p>
        </w:tc>
        <w:tc>
          <w:tcPr>
            <w:tcW w:type="dxa" w:w="150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Churn Prob.</w:t>
            </w:r>
          </w:p>
        </w:tc>
        <w:tc>
          <w:tcPr>
            <w:tcW w:type="dxa" w:w="166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Tier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CL0140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7,651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99.9%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CL0143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7,597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99.8%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CL0053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Retail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8,197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99.7%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CL0126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22,224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99.7%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CL0149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Government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16,491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99.5%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CL0066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Retail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12,181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99.5%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CL0091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10,984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99.3%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CL0108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6,400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99.2%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CL0124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9,578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99.0%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CL0187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11,490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99.0%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Full scored list of all 192 clients (with risk tier Green/Amber/Red) is in the accompanying client_risk_scores.csv file.</w:t>
      </w:r>
    </w:p>
    <w:p>
      <w:pPr>
        <w:pStyle w:val="Heading1"/>
        <w:spacing w:after="150" w:before="300"/>
      </w:pPr>
      <w:r>
        <w:t xml:space="preserve">3. 12-Month Revenue Forecast</w:t>
      </w:r>
    </w:p>
    <w:p>
      <w:pPr>
        <w:spacing w:after="120"/>
      </w:pPr>
      <w:r>
        <w:t xml:space="preserve">Revenue is forecast per client and churn-adjusted: each client's monthly revenue is carried forward only in simulation months where they remain active, with their individual 3-month churn probability converted into an implied monthly hazard and compounded forward. 2,000 Monte Carlo simulations produce a realistic revenue range rather than a single point estimate.</w:t>
      </w:r>
    </w:p>
    <w:p>
      <w:pPr>
        <w:spacing w:after="200"/>
        <w:jc w:val="center"/>
      </w:pPr>
      <w:r>
        <w:drawing>
          <wp:inline distT="0" distB="0" distL="0" distR="0">
            <wp:extent cx="49530000" cy="3143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0" cy="314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0" cy="2952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0" cy="295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c>
          <w:tcPr>
            <w:tcW w:type="dxa" w:w="320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10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12mo Revenue</w:t>
            </w:r>
          </w:p>
        </w:tc>
        <w:tc>
          <w:tcPr>
            <w:tcW w:type="dxa" w:w="306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90% Confidence Interval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A: Business as usual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$22,427,134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$21,811,052 – $23,033,244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B: Churn reduced by 5 pts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$23,255,310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$22,775,880 – $23,686,399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Hitting the 5-point churn reduction target is projected to add ≈$828,000 (+3.7%) in revenue over 12 months relative to business as usual — this is the quantified business case for the retention strategy below.</w:t>
      </w:r>
    </w:p>
    <w:p>
      <w:pPr>
        <w:pStyle w:val="Heading1"/>
        <w:spacing w:after="150" w:before="300"/>
      </w:pPr>
      <w:r>
        <w:t xml:space="preserve">4. Strategy to Reduce Churn by 5 Points</w:t>
      </w:r>
    </w:p>
    <w:p>
      <w:pPr>
        <w:spacing w:after="120"/>
      </w:pPr>
      <w:r>
        <w:t xml:space="preserve">Interventions are mapped directly to the SHAP-identified drivers, and should be prioritized by revenue-at-risk (churn probability × contract value), not probability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6160"/>
            <w:shd w:fill="4C6EF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Intervention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 escalations / SLA breaches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Proactive service review before breach threshold; dedicated escalation path for Red-tier accounts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Declining sentiment / CSAT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success outreach; root-cause service audit; service credit where warranted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turnover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Re-onboard new contact within 2 weeks; executive sponsor check-in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 delay / billing friction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 review call; flexible terms for otherwise-healthy accounts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 discounting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Value-based renewal conversation instead of further discounting; right-size the contract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Approaching renewal + Red tier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Move renewal conversation to 90 days out instead of 30, with tailored retention pricing</w:t>
            </w:r>
          </w:p>
        </w:tc>
      </w:tr>
    </w:tbl>
    <w:p>
      <w:pPr>
        <w:spacing w:after="150"/>
      </w:pPr>
    </w:p>
    <w:p>
      <w:pPr>
        <w:pStyle w:val="Heading2"/>
        <w:spacing w:after="120" w:before="250"/>
      </w:pPr>
      <w:r>
        <w:t xml:space="preserve">Operationalizing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 monthly churn scores into a Red/Amber/Green alert system for account managers, with SHAP reason codes attached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an A/B test: apply interventions to a random subset of flagged at-risk clients vs. a matched control group, to measure actual causal churn reduction.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leading indicators (escalations, sentiment) weekly so teams can react inside the 3-month window, not after it closes.</w:t>
      </w:r>
    </w:p>
    <w:p>
      <w:pPr>
        <w:pStyle w:val="Heading1"/>
        <w:spacing w:after="150" w:before="300"/>
      </w:pPr>
      <w:r>
        <w:t xml:space="preserve">5. Deliverables</w:t>
      </w:r>
    </w:p>
    <w:p>
      <w:pPr>
        <w:spacing w:after="120"/>
      </w:pPr>
      <w:r>
        <w:t xml:space="preserve">Alongside this report, the following files are provided: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client_modeling_dataset.csv — the 192-client feature table used for modeling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client_risk_scores.csv — every client scored with churn probability and risk tier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shap_feature_importance.csv — full ranked driver 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01–04 .py scripts — the complete, runnable pipeline (data build → churn model → revenue forecast)</w:t>
      </w:r>
    </w:p>
    <w:p>
      <w:pPr>
        <w:spacing w:after="120"/>
      </w:pPr>
      <w:r>
        <w:rPr>
          <w:i/>
          <w:iCs/>
        </w:rPr>
        <w:t xml:space="preserve">The pipeline is built to be re-run as-is on real transaction data: point 01_generate_data.py's aggregation step at your actual transaction table, and everything downstream (imputation, class-weighted model, SHAP, Monte Carlo revenue forecast) runs unchanged.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337f77ead5c6ce94982ef6923f074afeb4fc3b.png"/><Relationship Id="rId8" Type="http://schemas.openxmlformats.org/officeDocument/2006/relationships/image" Target="media/1468993d8ea052321a692933371bf110d1cf6bf3.png"/><Relationship Id="rId9" Type="http://schemas.openxmlformats.org/officeDocument/2006/relationships/image" Target="media/45bad89450f259568fa183da236c6f62333c5cc5.png"/><Relationship Id="rId10" Type="http://schemas.openxmlformats.org/officeDocument/2006/relationships/image" Target="media/89431fbe35ae295ddb50e24db288014449e50a1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2026-07-07T04:13:03.355Z</dcterms:created>
  <dcterms:modified xsi:type="dcterms:W3CDTF">2026-07-07T04:13:03.355Z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