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0.770, 0.077 ms/query, 1.45x faster than exact; fastest eligible config clearing the 0.75 bar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0.770, 0.077 ms/query, 1.45x faster than exact), clearing the Recall@5 ≥ 0.75 quality bar. Where RAM is the binding constraint, use IVF nprobe=20 (Recall@5 0.769, 0.166 ms/query, 0.68x versus exact)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12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SciFact corpus, query, and qrels counts after dataset loading.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67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resolved SciFact files saved to the local data/raw cache.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598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9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sample corpus passage, query, and relevance judgments.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0.110 ms (median; mean 0.112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0.077 ms</w:t>
            </w:r>
          </w:p>
        </w:tc>
        <w:tc>
          <w:tcPr>
            <w:tcW w:type="dxa" w:w="2340"/>
          </w:tcPr>
          <w:p>
            <w:r>
              <w:t>1.45x; 16 candidates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0.112 ms</w:t>
            </w:r>
          </w:p>
        </w:tc>
        <w:tc>
          <w:tcPr>
            <w:tcW w:type="dxa" w:w="2340"/>
          </w:tcPr>
          <w:p>
            <w:r>
              <w:t>1.00x; 32 candidates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0.165 ms</w:t>
            </w:r>
          </w:p>
        </w:tc>
        <w:tc>
          <w:tcPr>
            <w:tcW w:type="dxa" w:w="2340"/>
          </w:tcPr>
          <w:p>
            <w:r>
              <w:t>0.68x; 64 candidates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0.247 ms</w:t>
            </w:r>
          </w:p>
        </w:tc>
        <w:tc>
          <w:tcPr>
            <w:tcW w:type="dxa" w:w="2340"/>
          </w:tcPr>
          <w:p>
            <w:r>
              <w:t>0.45x; 128 candidates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0.025 ms</w:t>
            </w:r>
          </w:p>
        </w:tc>
        <w:tc>
          <w:tcPr>
            <w:tcW w:type="dxa" w:w="2340"/>
          </w:tcPr>
          <w:p>
            <w:r>
              <w:t>4.41x; 52 candidates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0.068 ms</w:t>
            </w:r>
          </w:p>
        </w:tc>
        <w:tc>
          <w:tcPr>
            <w:tcW w:type="dxa" w:w="2340"/>
          </w:tcPr>
          <w:p>
            <w:r>
              <w:t>1.64x; 259 candidates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0.106 ms</w:t>
            </w:r>
          </w:p>
        </w:tc>
        <w:tc>
          <w:tcPr>
            <w:tcW w:type="dxa" w:w="2340"/>
          </w:tcPr>
          <w:p>
            <w:r>
              <w:t>1.06x; 518 candidates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0.166 ms</w:t>
            </w:r>
          </w:p>
        </w:tc>
        <w:tc>
          <w:tcPr>
            <w:tcW w:type="dxa" w:w="2340"/>
          </w:tcPr>
          <w:p>
            <w:r>
              <w:t>0.68x; 1,037 candidates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0.025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0.112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0.077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0.770, 0.077 ms/query, 1.45x faster than exact) that meets the Recall@5 ≥ 0.75 quality bar. IVF nprobe=1 is fastest overall but its Recall@5 (0.502) falls well below the threshold and is rejected. HNSW efSearch=32 reaches the highest measured recall (0.780); IVF nprobe=20 reaches 0.769 (0.166 ms/query, 0.68x versus exact). Absolute latency and speedup are hardware-dependent; the measured values are reported per configuration in Tables 5–7 and the notebook's Task 6 output, while recall is hardware-independent.</w:t>
      </w:r>
      <w:r>
        <w:t xml:space="preserve"> Note: at this corpus size (~5,000 documents) exact search is already sub-millisecond, so only the lightest ANN settings beat it and heavier settings add overhead without a speed gain — ANN's speed advantage is expected to emerge only at much larger scale.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92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selection of 10 short, medium, and long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681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model comparison metrics by query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16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representative retrieval examples and overlap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1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contrasting retrieval sets and semantic/domain-match example.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counter-example where DistilBERT outperforms BGE.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26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cross-model comparison metrics for 300 queries.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0.770, 0.077 ms/query, 1.45x faster than exact; fastest eligible configuration clearing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566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5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final recommendation computed from the executed retrieval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461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measured figures and production deployment recommendation.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0.770, 0.077 ms/query, 1.45x faster than exact), clearing the 0.75 bar. Where RAM is the binding constraint, use IVF nprobe=20 (Recall@5 0.769, 0.166 ms/query, 0.68x versus exact), but verify the memory footprint on target hardware because it was not measured here. Absolute latency and speedup are hardware-dependent;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