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ANN trade-off</w:t>
            </w:r>
          </w:p>
        </w:tc>
        <w:tc>
          <w:tcPr>
            <w:tcW w:type="dxa" w:w="5000"/>
          </w:tcPr>
          <w:p>
            <w:r>
              <w:t>HNSW efSearch=16 ? Recall@5 0.777, 12.85x faster than exact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? 30.95x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0.112 — the two models retrieve largely different documents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Recommendation. </w:t>
      </w:r>
      <w:r>
        <w:t>Embed with BGE-large (unit-normalized) and serve HNSW efSearch=16; where RAM is the binding constraint, use IVF nprobe=20 tuned to meet the recall bar.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Latency / query (median of 25 timed runs)</w:t>
            </w:r>
          </w:p>
        </w:tc>
        <w:tc>
          <w:tcPr>
            <w:tcW w:type="dxa" w:w="4000"/>
          </w:tcPr>
          <w:p>
            <w:r>
              <w:t>0.488 ms (mean 0.513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0.040 ms</w:t>
            </w:r>
          </w:p>
        </w:tc>
        <w:tc>
          <w:tcPr>
            <w:tcW w:type="dxa" w:w="2340"/>
          </w:tcPr>
          <w:p>
            <w:r>
              <w:t>12.85x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0.069 ms</w:t>
            </w:r>
          </w:p>
        </w:tc>
        <w:tc>
          <w:tcPr>
            <w:tcW w:type="dxa" w:w="2340"/>
          </w:tcPr>
          <w:p>
            <w:r>
              <w:t>7.44x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0.122 ms</w:t>
            </w:r>
          </w:p>
        </w:tc>
        <w:tc>
          <w:tcPr>
            <w:tcW w:type="dxa" w:w="2340"/>
          </w:tcPr>
          <w:p>
            <w:r>
              <w:t>4.20x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0.214 ms</w:t>
            </w:r>
          </w:p>
        </w:tc>
        <w:tc>
          <w:tcPr>
            <w:tcW w:type="dxa" w:w="2340"/>
          </w:tcPr>
          <w:p>
            <w:r>
              <w:t>2.39x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30.95x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0.037 ms</w:t>
            </w:r>
          </w:p>
        </w:tc>
        <w:tc>
          <w:tcPr>
            <w:tcW w:type="dxa" w:w="2340"/>
          </w:tcPr>
          <w:p>
            <w:r>
              <w:t>13.94x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0.066 ms</w:t>
            </w:r>
          </w:p>
        </w:tc>
        <w:tc>
          <w:tcPr>
            <w:tcW w:type="dxa" w:w="2340"/>
          </w:tcPr>
          <w:p>
            <w:r>
              <w:t>7.81x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0.138 ms</w:t>
            </w:r>
          </w:p>
        </w:tc>
        <w:tc>
          <w:tcPr>
            <w:tcW w:type="dxa" w:w="2340"/>
          </w:tcPr>
          <w:p>
            <w:r>
              <w:t>3.70x</w:t>
            </w:r>
          </w:p>
        </w:tc>
      </w:tr>
    </w:tbl>
    <w:p>
      <w:pPr>
        <w:spacing w:after="120"/>
      </w:pPr>
      <w:r>
        <w:t>Index build time and memory consumption were not measured — HNSW builds slower and has a larger graph memory footprint than IVF, a cost invisible in these latency-only results.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0.069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0.040 ms</w:t>
            </w:r>
          </w:p>
        </w:tc>
      </w:tr>
    </w:tbl>
    <w:p>
      <w:pPr>
        <w:spacing w:after="120"/>
      </w:pPr>
      <w:r>
        <w:t>Recommendation for high query volume. Use HNSW efSearch=16 — the fastest configuration (12.85x speedup) that still meets the Recall@5 ≥ 0.75 quality bar. IVF nprobe=1 is fastest overall (30.95x) but its Recall@5 (0.502) falls well below the threshold and is rejected; raising efSearch beyond 16 buys only marginal recall (0.780 at ef=32) for a higher latency, and IVF needs nprobe≈20 to reach comparable recall, by which point its speed advantage over HNSW is largely gone.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0.700</w:t>
            </w:r>
          </w:p>
        </w:tc>
      </w:tr>
    </w:tbl>
    <w:p>
      <w:pPr>
        <w:spacing w:after="120"/>
      </w:pPr>
      <w:r>
        <w:t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Q3. Best ANN trade-off</w:t>
            </w:r>
          </w:p>
        </w:tc>
        <w:tc>
          <w:tcPr>
            <w:tcW w:type="dxa" w:w="6160"/>
          </w:tcPr>
          <w:p>
            <w:r>
              <w:t>HNSW efSearch=16 ? Recall@5 0.777 at 12.85x speedup, fastest config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configuration that still clears the Recall@5 ≥ 0.75 quality bar. Where RAM is the binding constraint, use IVF nprobe=20 tuned to meet the same recall bar.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r>
        <w:rPr>
          <w:b/>
          <w:sz w:val="32"/>
        </w:rPr>
        <w:t>Virtual Lab Evidence</w:t>
      </w:r>
    </w:p>
    <w:p>
      <w:pPr>
        <w:spacing w:after="115"/>
      </w:pPr>
      <w:r>
        <w:t>The following capture records the RunPod/JupyterLab environment used for the executed notebook. Task-level results remain available in the submitted executed notebook and generated result figure.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723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3.55.56 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723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RunPod Virtual Lab and JupyterLab workspace used for notebook execution.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