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p>
      <w:r>
        <w:br w:type="page"/>
      </w:r>
    </w:p>
    <w:p>
      <w:r>
        <w:t>Appendix — Virtual Lab Execution Screenshots</w:t>
      </w:r>
    </w:p>
    <w:p>
      <w:r>
        <w:rPr>
          <w:b/>
          <w:sz w:val="28"/>
        </w:rPr>
        <w:t>Appendix — Virtual Lab Execution Screenshots</w:t>
      </w:r>
    </w:p>
    <w:p>
      <w:r>
        <w:rPr>
          <w:i/>
        </w:rPr>
        <w:t>The following screenshots evidence end-to-end execution of the notebook in the RunPod Virtual Lab.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684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8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 — Virtual Lab (RunPod JupyterLab): notebook header, Student Details, and Group Contributions.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388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8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 — Virtual Lab: Task 2 embedding comparison — dimensions, pooling, and CPU embedding times (341.12 s / 2034.55 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43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A3 — Virtual Lab: Task 3 (DistilBERT) — raw dot-product ranking differs from cosine for 4/5 queries; identities hold 25/25 after L2-normalization.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367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6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A4 — Virtual Lab: Task 3 (BGE-large) — vectors already unit-length (norms mean=1.0000), ranking unchanged 0/5; identities hold 25/25.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7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A5 — Virtual Lab: Task 8 cross-model exact comparison over 300 queries (Recall@5 0.1078 vs 0.7799).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