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0.770, 6.84x faster than exact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nprobe=1 - 15.20x faster but Recall@5 only 0.502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0.112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efSearch=16; this is the fastest eligible configuration in the current executed run (Recall@5 0.770, 6.84x speedup).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033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_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3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Recovered Virtual Lab evidence: Task 2 executed CPU timing and embedding-shape output.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061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_Image_5g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Recovered Virtual Lab evidence: Task 3 metric definitions and pair-selection setup.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869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_Image_4g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Recovered Virtual Lab evidence: Task 3 ranking and normalization checks (0/5 and 25/25).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0.228 ms (mean 0.231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0.032 ms</w:t>
            </w:r>
          </w:p>
        </w:tc>
        <w:tc>
          <w:tcPr>
            <w:tcW w:type="dxa" w:w="2340"/>
          </w:tcPr>
          <w:p>
            <w:r>
              <w:t>6.84x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0.059 ms</w:t>
            </w:r>
          </w:p>
        </w:tc>
        <w:tc>
          <w:tcPr>
            <w:tcW w:type="dxa" w:w="2340"/>
          </w:tcPr>
          <w:p>
            <w:r>
              <w:t>3.72x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0.116 ms</w:t>
            </w:r>
          </w:p>
        </w:tc>
        <w:tc>
          <w:tcPr>
            <w:tcW w:type="dxa" w:w="2340"/>
          </w:tcPr>
          <w:p>
            <w:r>
              <w:t>1.88x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0.218 ms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0.014 ms</w:t>
            </w:r>
          </w:p>
        </w:tc>
        <w:tc>
          <w:tcPr>
            <w:tcW w:type="dxa" w:w="2340"/>
          </w:tcPr>
          <w:p>
            <w:r>
              <w:t>15.20x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5.60x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0.068 ms</w:t>
            </w:r>
          </w:p>
        </w:tc>
        <w:tc>
          <w:tcPr>
            <w:tcW w:type="dxa" w:w="2340"/>
          </w:tcPr>
          <w:p>
            <w:r>
              <w:t>3.21x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0.127 ms</w:t>
            </w:r>
          </w:p>
        </w:tc>
        <w:tc>
          <w:tcPr>
            <w:tcW w:type="dxa" w:w="2340"/>
          </w:tcPr>
          <w:p>
            <w:r>
              <w:t>1.73x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0.014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efSearch=32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0.059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0.770</w:t>
            </w:r>
          </w:p>
        </w:tc>
        <w:tc>
          <w:tcPr>
            <w:tcW w:type="dxa" w:w="2340"/>
          </w:tcPr>
          <w:p>
            <w:r>
              <w:t>0.032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current executed run (Recall@5 0.770 and 6.84x speedup) that meets the Recall@5 &gt;= 0.75 quality bar. IVF nprobe=1 is fastest overall (15.20x) but its Recall@5 (0.502) falls well below the threshold and is rejected. HNSW efSearch=32 reaches the highest measured recall (0.780) at 0.059 ms, while IVF nprobe=20 reaches 0.769 at 0.127 ms and 1.73x speedup.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0.239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0.337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0.700</w:t>
            </w:r>
          </w:p>
        </w:tc>
      </w:tr>
    </w:tbl>
    <w:p>
      <w:pPr>
        <w:spacing w:after="120"/>
      </w:pPr>
      <w:r>
        <w:t>Mean Top-5 set overlap (Jaccard) across all 10 queries: 0.112.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 xml:space="preserve">1. Retrieved sets diverge. </w:t>
      </w:r>
      <w:r>
        <w:t>Query “Cell autonomous sex determination in somatic cells does not occur in Galliformes” (12 words) — Top-5 sets share 0% overlap (Jaccard=0.00); BGE hits@5=1, DistilBERT hits@5=0. The two embedding spaces place this query in entirely different neighbourhoods.</w:t>
      </w:r>
    </w:p>
    <w:p>
      <w:pPr>
        <w:spacing w:after="120"/>
      </w:pPr>
      <w:r>
        <w:rPr>
          <w:b/>
          <w:bCs/>
        </w:rPr>
        <w:t xml:space="preserve">2. Semantic/domain-terminology match (BGE advantage). </w:t>
      </w:r>
      <w:r>
        <w:t>Query “Ly6C hi monocytes have a lower inflammatory capacity than Ly6C lo monocytes” (12 words) — BGE hits@5=2 vs. DistilBERT hits@5=1 at comparable lexical overlap (0.35 vs. 0.25). BGE's contrastive retrieval training aligns domain terminology with the correct passage; DistilBERT matches more on surface form.</w:t>
      </w:r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ted_Imagew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Recovered Virtual Lab evidence: Task 8 exact cross-model comparison over 300 queries.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0.770 at 6.84x speedup, fastest eligible configuration meeting the 0.75 bar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efSearch=16, the fastest eligible configuration in the current executed run (Recall@5 0.770, 6.84x speedup). Where RAM is the binding constraint, use IVF nprobe=20 (Recall@5 0.769, 1.73x speedup), but verify the memory footprint on target hardware because it was not measured here.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r>
        <w:rPr>
          <w:b/>
          <w:sz w:val="32"/>
        </w:rPr>
        <w:t>Virtual Lab Evidence</w:t>
      </w:r>
    </w:p>
    <w:p>
      <w:pPr>
        <w:spacing w:after="115"/>
      </w:pPr>
      <w:r>
        <w:t>The following recovered screenshots document execution in the RunPod/JupyterLab Virtual Lab. The Task 2, Task 3, and Task 8 captures embedded below match the current saved notebook run. The current report tables and Figure 1 remain authoritative for Tasks 4-7; recovered ANN and qualitative captures with older timings or aggregate values were intentionally excluded to avoid mixing runs.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