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media/image6." ContentType="image/png"/>
  <Override PartName="/word/media/image7." ContentType="image/pn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sz w:val="32"/>
          <w:szCs w:val="32"/>
        </w:rPr>
        <w:t>AIMLCZG521 — Conversational AI</w:t>
      </w:r>
    </w:p>
    <w:p>
      <w:pPr>
        <w:spacing w:after="100"/>
        <w:jc w:val="center"/>
      </w:pPr>
      <w:r>
        <w:rPr>
          <w:sz w:val="26"/>
          <w:szCs w:val="26"/>
        </w:rPr>
        <w:t>Group Assignment 1 — Problem Statement 2</w:t>
      </w:r>
    </w:p>
    <w:p>
      <w:pPr>
        <w:spacing w:after="100"/>
        <w:jc w:val="center"/>
      </w:pPr>
      <w:r>
        <w:rPr>
          <w:i/>
          <w:iCs/>
          <w:sz w:val="22"/>
          <w:szCs w:val="22"/>
        </w:rPr>
        <w:t>Study of Embedding Models and Approximate Nearest Neighbor Search:</w:t>
      </w:r>
    </w:p>
    <w:p>
      <w:pPr>
        <w:spacing w:after="300"/>
        <w:jc w:val="center"/>
      </w:pPr>
      <w:r>
        <w:rPr>
          <w:i/>
          <w:iCs/>
          <w:sz w:val="22"/>
          <w:szCs w:val="22"/>
        </w:rPr>
        <w:t>Semantic Quality vs Search Efficiency</w:t>
      </w:r>
    </w:p>
    <w:p>
      <w:pPr>
        <w:spacing w:after="400"/>
        <w:jc w:val="center"/>
      </w:pPr>
      <w:r>
        <w:rPr>
          <w:b/>
          <w:bCs/>
          <w:sz w:val="24"/>
          <w:szCs w:val="24"/>
        </w:rPr>
        <w:t>Group 129</w:t>
      </w:r>
    </w:p>
    <w:p>
      <w:pPr>
        <w:pStyle w:val="Heading1"/>
        <w:spacing w:after="150" w:before="300"/>
      </w:pPr>
      <w:r>
        <w:t>Student Details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500"/>
        <w:gridCol w:w="3360"/>
      </w:tblGrid>
      <w:tr>
        <w:tc>
          <w:tcPr>
            <w:tcW w:type="dxa" w:w="3500"/>
            <w:shd w:fill="DCE6F1" w:val="clear"/>
          </w:tcPr>
          <w:p>
            <w:r>
              <w:rPr>
                <w:b/>
                <w:bCs/>
                <w:sz w:val="20"/>
                <w:szCs w:val="20"/>
              </w:rPr>
              <w:t>Name</w:t>
            </w:r>
          </w:p>
        </w:tc>
        <w:tc>
          <w:tcPr>
            <w:tcW w:type="dxa" w:w="2500"/>
            <w:shd w:fill="DCE6F1" w:val="clear"/>
          </w:tcPr>
          <w:p>
            <w:r>
              <w:rPr>
                <w:b/>
                <w:bCs/>
                <w:sz w:val="20"/>
                <w:szCs w:val="20"/>
              </w:rPr>
              <w:t>BITS ID</w:t>
            </w:r>
          </w:p>
        </w:tc>
        <w:tc>
          <w:tcPr>
            <w:tcW w:type="dxa" w:w="3360"/>
            <w:shd w:fill="DCE6F1" w:val="clear"/>
          </w:tcPr>
          <w:p>
            <w:r>
              <w:rPr>
                <w:b/>
                <w:bCs/>
                <w:sz w:val="20"/>
                <w:szCs w:val="20"/>
              </w:rPr>
              <w:t>Email</w:t>
            </w:r>
          </w:p>
        </w:tc>
      </w:tr>
      <w:tr>
        <w:tc>
          <w:tcPr>
            <w:tcW w:type="dxa" w:w="3500"/>
          </w:tcPr>
          <w:p>
            <w:r>
              <w:rPr>
                <w:b w:val="false"/>
                <w:bCs w:val="false"/>
                <w:sz w:val="20"/>
                <w:szCs w:val="20"/>
              </w:rPr>
              <w:t>Pushadapu Sanjay Kumar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sz w:val="20"/>
                <w:szCs w:val="20"/>
              </w:rPr>
              <w:t>2025ae05898</w:t>
            </w:r>
          </w:p>
        </w:tc>
        <w:tc>
          <w:tcPr>
            <w:tcW w:type="dxa" w:w="3360"/>
          </w:tcPr>
          <w:p>
            <w:r>
              <w:rPr>
                <w:b w:val="false"/>
                <w:bCs w:val="false"/>
                <w:sz w:val="20"/>
                <w:szCs w:val="20"/>
              </w:rPr>
              <w:t>2025ae05898@wilp.bits-pilani.ac.in</w:t>
            </w:r>
          </w:p>
        </w:tc>
      </w:tr>
      <w:tr>
        <w:tc>
          <w:tcPr>
            <w:tcW w:type="dxa" w:w="3500"/>
          </w:tcPr>
          <w:p>
            <w:r>
              <w:rPr>
                <w:b w:val="false"/>
                <w:bCs w:val="false"/>
                <w:sz w:val="20"/>
                <w:szCs w:val="20"/>
              </w:rPr>
              <w:t>B Devchandraaj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sz w:val="20"/>
                <w:szCs w:val="20"/>
              </w:rPr>
              <w:t>2025ae05469</w:t>
            </w:r>
          </w:p>
        </w:tc>
        <w:tc>
          <w:tcPr>
            <w:tcW w:type="dxa" w:w="3360"/>
          </w:tcPr>
          <w:p>
            <w:r>
              <w:rPr>
                <w:b w:val="false"/>
                <w:bCs w:val="false"/>
                <w:sz w:val="20"/>
                <w:szCs w:val="20"/>
              </w:rPr>
              <w:t>2025ae05469@wilp.bits-pilani.ac.in</w:t>
            </w:r>
          </w:p>
        </w:tc>
      </w:tr>
      <w:tr>
        <w:tc>
          <w:tcPr>
            <w:tcW w:type="dxa" w:w="3500"/>
          </w:tcPr>
          <w:p>
            <w:r>
              <w:rPr>
                <w:b w:val="false"/>
                <w:bCs w:val="false"/>
                <w:sz w:val="20"/>
                <w:szCs w:val="20"/>
              </w:rPr>
              <w:t>Gourob Nandi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sz w:val="20"/>
                <w:szCs w:val="20"/>
              </w:rPr>
              <w:t>2025ae05503</w:t>
            </w:r>
          </w:p>
        </w:tc>
        <w:tc>
          <w:tcPr>
            <w:tcW w:type="dxa" w:w="3360"/>
          </w:tcPr>
          <w:p>
            <w:r>
              <w:rPr>
                <w:b w:val="false"/>
                <w:bCs w:val="false"/>
                <w:sz w:val="20"/>
                <w:szCs w:val="20"/>
              </w:rPr>
              <w:t>2025ae05503@wilp.bits-pilani.ac.in</w:t>
            </w:r>
          </w:p>
        </w:tc>
      </w:tr>
      <w:tr>
        <w:tc>
          <w:tcPr>
            <w:tcW w:type="dxa" w:w="3500"/>
          </w:tcPr>
          <w:p>
            <w:r>
              <w:rPr>
                <w:b w:val="false"/>
                <w:bCs w:val="false"/>
                <w:sz w:val="20"/>
                <w:szCs w:val="20"/>
              </w:rPr>
              <w:t>Anirudh Anand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sz w:val="20"/>
                <w:szCs w:val="20"/>
              </w:rPr>
              <w:t>2025ae05576</w:t>
            </w:r>
          </w:p>
        </w:tc>
        <w:tc>
          <w:tcPr>
            <w:tcW w:type="dxa" w:w="3360"/>
          </w:tcPr>
          <w:p>
            <w:r>
              <w:rPr>
                <w:b w:val="false"/>
                <w:bCs w:val="false"/>
                <w:sz w:val="20"/>
                <w:szCs w:val="20"/>
              </w:rPr>
              <w:t>2025ae05576@wilp.bits-pilani.ac.in</w:t>
            </w:r>
          </w:p>
        </w:tc>
      </w:tr>
    </w:tbl>
    <w:p>
      <w:pPr>
        <w:pStyle w:val="Heading1"/>
        <w:spacing w:after="150" w:before="300"/>
      </w:pPr>
      <w:r>
        <w:t>Group Contributions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c>
          <w:tcPr>
            <w:tcW w:type="dxa" w:w="2200"/>
            <w:shd w:fill="DCE6F1" w:val="clear"/>
          </w:tcPr>
          <w:p>
            <w:r>
              <w:rPr>
                <w:b/>
                <w:bCs/>
                <w:sz w:val="20"/>
                <w:szCs w:val="20"/>
              </w:rPr>
              <w:t>Student</w:t>
            </w:r>
          </w:p>
        </w:tc>
        <w:tc>
          <w:tcPr>
            <w:tcW w:type="dxa" w:w="2800"/>
            <w:shd w:fill="DCE6F1" w:val="clear"/>
          </w:tcPr>
          <w:p>
            <w:r>
              <w:rPr>
                <w:b/>
                <w:bCs/>
                <w:sz w:val="20"/>
                <w:szCs w:val="20"/>
              </w:rPr>
              <w:t>Contribution Area</w:t>
            </w:r>
          </w:p>
        </w:tc>
        <w:tc>
          <w:tcPr>
            <w:tcW w:type="dxa" w:w="4360"/>
            <w:shd w:fill="DCE6F1" w:val="clear"/>
          </w:tcPr>
          <w:p>
            <w:r>
              <w:rPr>
                <w:b/>
                <w:bCs/>
                <w:sz w:val="20"/>
                <w:szCs w:val="20"/>
              </w:rPr>
              <w:t>Specific Contribution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sz w:val="20"/>
                <w:szCs w:val="20"/>
              </w:rPr>
              <w:t>B Devchandraaj</w:t>
            </w:r>
          </w:p>
        </w:tc>
        <w:tc>
          <w:tcPr>
            <w:tcW w:type="dxa" w:w="2800"/>
          </w:tcPr>
          <w:p>
            <w:r>
              <w:rPr>
                <w:b w:val="false"/>
                <w:bCs w:val="false"/>
                <w:sz w:val="20"/>
                <w:szCs w:val="20"/>
              </w:rPr>
              <w:t>Dataset &amp; embedding</w:t>
            </w:r>
          </w:p>
        </w:tc>
        <w:tc>
          <w:tcPr>
            <w:tcW w:type="dxa" w:w="4360"/>
          </w:tcPr>
          <w:p>
            <w:r>
              <w:rPr>
                <w:b w:val="false"/>
                <w:bCs w:val="false"/>
                <w:sz w:val="20"/>
                <w:szCs w:val="20"/>
              </w:rPr>
              <w:t>Dataset loading, validation, and embedding generation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sz w:val="20"/>
                <w:szCs w:val="20"/>
              </w:rPr>
              <w:t>Pushadapu Sanjay Kumar</w:t>
            </w:r>
          </w:p>
        </w:tc>
        <w:tc>
          <w:tcPr>
            <w:tcW w:type="dxa" w:w="2800"/>
          </w:tcPr>
          <w:p>
            <w:r>
              <w:rPr>
                <w:b w:val="false"/>
                <w:bCs w:val="false"/>
                <w:sz w:val="20"/>
                <w:szCs w:val="20"/>
              </w:rPr>
              <w:t>Similarity &amp; exact kNN</w:t>
            </w:r>
          </w:p>
        </w:tc>
        <w:tc>
          <w:tcPr>
            <w:tcW w:type="dxa" w:w="4360"/>
          </w:tcPr>
          <w:p>
            <w:r>
              <w:rPr>
                <w:b w:val="false"/>
                <w:bCs w:val="false"/>
                <w:sz w:val="20"/>
                <w:szCs w:val="20"/>
              </w:rPr>
              <w:t>Metric formulas, normalization analysis, and exact retrieval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sz w:val="20"/>
                <w:szCs w:val="20"/>
              </w:rPr>
              <w:t>Gourob Nandi</w:t>
            </w:r>
          </w:p>
        </w:tc>
        <w:tc>
          <w:tcPr>
            <w:tcW w:type="dxa" w:w="2800"/>
          </w:tcPr>
          <w:p>
            <w:r>
              <w:rPr>
                <w:b w:val="false"/>
                <w:bCs w:val="false"/>
                <w:sz w:val="20"/>
                <w:szCs w:val="20"/>
              </w:rPr>
              <w:t>HNSW &amp; IVF</w:t>
            </w:r>
          </w:p>
        </w:tc>
        <w:tc>
          <w:tcPr>
            <w:tcW w:type="dxa" w:w="4360"/>
          </w:tcPr>
          <w:p>
            <w:r>
              <w:rPr>
                <w:b w:val="false"/>
                <w:bCs w:val="false"/>
                <w:sz w:val="20"/>
                <w:szCs w:val="20"/>
              </w:rPr>
              <w:t>FAISS index construction and ANN parameter sweeps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sz w:val="20"/>
                <w:szCs w:val="20"/>
              </w:rPr>
              <w:t>Anirudh Anand</w:t>
            </w:r>
          </w:p>
        </w:tc>
        <w:tc>
          <w:tcPr>
            <w:tcW w:type="dxa" w:w="2800"/>
          </w:tcPr>
          <w:p>
            <w:r>
              <w:rPr>
                <w:b w:val="false"/>
                <w:bCs w:val="false"/>
                <w:sz w:val="20"/>
                <w:szCs w:val="20"/>
              </w:rPr>
              <w:t>Evaluation &amp; reporting</w:t>
            </w:r>
          </w:p>
        </w:tc>
        <w:tc>
          <w:tcPr>
            <w:tcW w:type="dxa" w:w="4360"/>
          </w:tcPr>
          <w:p>
            <w:r>
              <w:rPr>
                <w:b w:val="false"/>
                <w:bCs w:val="false"/>
                <w:sz w:val="20"/>
                <w:szCs w:val="20"/>
              </w:rPr>
              <w:t>Metrics, visualizations, qualitative examples, and report preparation</w:t>
            </w:r>
          </w:p>
        </w:tc>
      </w:tr>
    </w:tbl>
    <w:p>
      <w:pPr>
        <w:pStyle w:val="Heading1"/>
        <w:spacing w:after="150" w:before="300"/>
      </w:pPr>
      <w:r>
        <w:t>Executive Summary</w:t>
      </w:r>
    </w:p>
    <w:p>
      <w:pPr>
        <w:spacing w:after="120"/>
      </w:pPr>
      <w:r>
        <w:rPr>
          <w:b/>
          <w:bCs/>
        </w:rPr>
        <w:t xml:space="preserve">Objective. </w:t>
      </w:r>
      <w:r>
        <w:t>Compare two encoder embedding models and two approximate-nearest-neighbour (ANN) indexes on a real retrieval task, trading off semantic quality vs. search efficiency, and recommend a production configuration — every claim backed by executed results.</w:t>
      </w:r>
    </w:p>
    <w:p>
      <w:pPr>
        <w:spacing w:after="120"/>
      </w:pPr>
      <w:r>
        <w:rPr>
          <w:b/>
          <w:bCs/>
        </w:rPr>
        <w:t xml:space="preserve">Dataset. </w:t>
      </w:r>
      <w:r>
        <w:t>SciFact (BEIR benchmark): 5,183 document passages, 300 queries each with relevance judgments (339 total qrels). Clears the assignment's 1,000-passage / 50-query minimums by ~5x and ~6x respectively.</w:t>
      </w:r>
    </w:p>
    <w:p>
      <w:pPr>
        <w:spacing w:after="120"/>
      </w:pPr>
      <w:r>
        <w:rPr>
          <w:b/>
          <w:bCs/>
        </w:rPr>
        <w:t xml:space="preserve">Models. </w:t>
      </w:r>
      <w:r>
        <w:t>distilbert-base-uncased (768-dim, mean pooling, general-purpose) vs. BAAI/bge-large-en-v1.5 (1024-dim, [CLS] pooling, retrieval-tuned) — a deliberately contrasting pair.</w:t>
      </w:r>
    </w:p>
    <w:p>
      <w:pPr>
        <w:pStyle w:val="Heading3"/>
        <w:spacing w:after="90" w:before="180"/>
      </w:pPr>
      <w:r>
        <w:t>Key Results (executed)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60"/>
        <w:gridCol w:w="5000"/>
      </w:tblGrid>
      <w:tr>
        <w:tc>
          <w:tcPr>
            <w:tcW w:type="dxa" w:w="4360"/>
            <w:shd w:fill="DCE6F1" w:val="clear"/>
          </w:tcPr>
          <w:p>
            <w:r>
              <w:rPr>
                <w:b/>
                <w:bCs/>
                <w:sz w:val="20"/>
                <w:szCs w:val="20"/>
              </w:rPr>
              <w:t>Finding</w:t>
            </w:r>
          </w:p>
        </w:tc>
        <w:tc>
          <w:tcPr>
            <w:tcW w:type="dxa" w:w="5000"/>
            <w:shd w:fill="DCE6F1" w:val="clear"/>
          </w:tcPr>
          <w:p>
            <w:r>
              <w:rPr>
                <w:b/>
                <w:bCs/>
                <w:sz w:val="20"/>
                <w:szCs w:val="20"/>
              </w:rPr>
              <w:t>Result</w:t>
            </w:r>
          </w:p>
        </w:tc>
      </w:tr>
      <w:tr>
        <w:tc>
          <w:tcPr>
            <w:tcW w:type="dxa" w:w="4360"/>
          </w:tcPr>
          <w:p>
            <w:r>
              <w:rPr>
                <w:b w:val="false"/>
                <w:bCs w:val="false"/>
                <w:sz w:val="20"/>
                <w:szCs w:val="20"/>
              </w:rPr>
              <w:t>Best embedding model (exact Recall@5)</w:t>
            </w:r>
          </w:p>
        </w:tc>
        <w:tc>
          <w:tcPr>
            <w:tcW w:type="dxa" w:w="5000"/>
          </w:tcPr>
          <w:p>
            <w:r>
              <w:rPr>
                <w:b w:val="false"/>
                <w:bCs w:val="false"/>
                <w:sz w:val="20"/>
                <w:szCs w:val="20"/>
              </w:rPr>
              <w:t>BGE-large 0.780 vs DistilBERT 0.108 (~7.2x higher)</w:t>
            </w:r>
          </w:p>
        </w:tc>
      </w:tr>
      <w:tr>
        <w:tc>
          <w:tcPr>
            <w:tcW w:type="dxa" w:w="4360"/>
          </w:tcPr>
          <w:p>
            <w:r>
              <w:rPr>
                <w:b w:val="false"/>
                <w:bCs w:val="false"/>
                <w:sz w:val="20"/>
                <w:szCs w:val="20"/>
              </w:rPr>
              <w:t>Most appropriate metric</w:t>
            </w:r>
          </w:p>
        </w:tc>
        <w:tc>
          <w:tcPr>
            <w:tcW w:type="dxa" w:w="5000"/>
          </w:tcPr>
          <w:p>
            <w:r>
              <w:t>Cosine ? identical ranking to dot/L2 on unit-normalized vectors; scale-invariant</w:t>
            </w:r>
          </w:p>
        </w:tc>
      </w:tr>
      <w:tr>
        <w:tc>
          <w:tcPr>
            <w:tcW w:type="dxa" w:w="4360"/>
          </w:tcPr>
          <w:p>
            <w:r>
              <w:t>Best ANN trade-off</w:t>
            </w:r>
          </w:p>
        </w:tc>
        <w:tc>
          <w:tcPr>
            <w:tcW w:type="dxa" w:w="5000"/>
          </w:tcPr>
          <w:p>
            <w:r>
              <w:t>HNSW efSearch=16 - Recall@5 0.777; fastest eligible config clearing the 0.75 bar (per-run speedup in Task 6)</w:t>
            </w:r>
          </w:p>
        </w:tc>
      </w:tr>
      <w:tr>
        <w:tc>
          <w:tcPr>
            <w:tcW w:type="dxa" w:w="4360"/>
          </w:tcPr>
          <w:p>
            <w:r>
              <w:t>Fastest ANN (rejected by quality bar)</w:t>
            </w:r>
          </w:p>
        </w:tc>
        <w:tc>
          <w:tcPr>
            <w:tcW w:type="dxa" w:w="5000"/>
          </w:tcPr>
          <w:p>
            <w:r>
              <w:t>IVF nprobe=1 - fastest overall but Recall@5 only 0.502 (below the quality bar)</w:t>
            </w:r>
          </w:p>
        </w:tc>
      </w:tr>
      <w:tr>
        <w:tc>
          <w:tcPr>
            <w:tcW w:type="dxa" w:w="4360"/>
          </w:tcPr>
          <w:p>
            <w:r>
              <w:rPr>
                <w:b w:val="false"/>
                <w:bCs w:val="false"/>
                <w:sz w:val="20"/>
                <w:szCs w:val="20"/>
              </w:rPr>
              <w:t>Model disagreement (Task 7)</w:t>
            </w:r>
          </w:p>
        </w:tc>
        <w:tc>
          <w:tcPr>
            <w:tcW w:type="dxa" w:w="5000"/>
          </w:tcPr>
          <w:p>
            <w:r>
              <w:rPr>
                <w:b w:val="false"/>
                <w:bCs w:val="false"/>
                <w:sz w:val="20"/>
                <w:szCs w:val="20"/>
              </w:rPr>
              <w:t>Mean Top-5 set overlap 0.135 — the two models retrieve largely different documents</w:t>
            </w:r>
          </w:p>
        </w:tc>
      </w:tr>
    </w:tbl>
    <w:p>
      <w:pPr>
        <w:spacing w:after="120"/>
      </w:pPr>
      <w:r>
        <w:t>Recommendation. Embed with BGE-large (unit-normalized) and serve HNSW efSearch=16 — the fastest eligible configuration in the executed run (Recall@5 0.777), clearing the Recall@5 ≥ 0.75 quality bar; per-run speedup is reported in the notebook's Task 6 output. Where RAM is the binding constraint, use IVF nprobe=20 and verify the footprint on target hardware.</w:t>
      </w:r>
    </w:p>
    <w:p>
      <w:pPr>
        <w:pStyle w:val="Heading1"/>
        <w:spacing w:after="150" w:before="300"/>
      </w:pPr>
      <w:r>
        <w:t>Problem Statement</w:t>
      </w:r>
    </w:p>
    <w:p>
      <w:pPr>
        <w:spacing w:after="120"/>
      </w:pPr>
      <w:r>
        <w:t>This assignment studies semantic retrieval quality and approximate-nearest-neighbor search efficiency using two embedding models, across four modules: (1) dataset and embedding preparation, (2) similarity metrics and exact retrieval, (3) HNSW and IVF ANN search, and (4) embedding quality analysis and final recommendation.</w:t>
      </w:r>
    </w:p>
    <w:p>
      <w:pPr>
        <w:pStyle w:val="Heading1"/>
        <w:spacing w:after="150" w:before="300"/>
      </w:pPr>
      <w:r>
        <w:t>Tools and Libraries Used</w:t>
      </w:r>
    </w:p>
    <w:p>
      <w:pPr>
        <w:pStyle w:val="ListParagraph"/>
        <w:numPr>
          <w:ilvl w:val="0"/>
          <w:numId w:val="1"/>
        </w:numPr>
        <w:spacing w:after="60"/>
      </w:pPr>
      <w:r>
        <w:t>Python 3.14.5 (recorded execution environment)</w:t>
      </w:r>
    </w:p>
    <w:p>
      <w:pPr>
        <w:pStyle w:val="ListParagraph"/>
        <w:numPr>
          <w:ilvl w:val="0"/>
          <w:numId w:val="1"/>
        </w:numPr>
        <w:spacing w:after="60"/>
      </w:pPr>
      <w:r>
        <w:t>datasets (Hugging Face) — loading the BEIR-format SciFact dataset</w:t>
      </w:r>
    </w:p>
    <w:p>
      <w:pPr>
        <w:pStyle w:val="ListParagraph"/>
        <w:numPr>
          <w:ilvl w:val="0"/>
          <w:numId w:val="1"/>
        </w:numPr>
        <w:spacing w:after="60"/>
      </w:pPr>
      <w:r>
        <w:t>pandas, numpy — data handling</w:t>
      </w:r>
    </w:p>
    <w:p>
      <w:pPr>
        <w:pStyle w:val="ListParagraph"/>
        <w:numPr>
          <w:ilvl w:val="0"/>
          <w:numId w:val="1"/>
        </w:numPr>
        <w:spacing w:after="60"/>
      </w:pPr>
      <w:r>
        <w:t>sentence-transformers — encoder embedding models</w:t>
      </w:r>
    </w:p>
    <w:p>
      <w:pPr>
        <w:pStyle w:val="ListParagraph"/>
        <w:numPr>
          <w:ilvl w:val="0"/>
          <w:numId w:val="1"/>
        </w:numPr>
        <w:spacing w:after="60"/>
      </w:pPr>
      <w:r>
        <w:t>faiss-cpu — HNSW / IVF ANN indexes</w:t>
      </w:r>
    </w:p>
    <w:p>
      <w:pPr>
        <w:pStyle w:val="ListParagraph"/>
        <w:numPr>
          <w:ilvl w:val="0"/>
          <w:numId w:val="1"/>
        </w:numPr>
        <w:spacing w:after="60"/>
      </w:pPr>
      <w:r>
        <w:t>matplotlib — plots</w:t>
      </w:r>
    </w:p>
    <w:p>
      <w:pPr>
        <w:pStyle w:val="Heading1"/>
        <w:spacing w:after="150" w:before="300"/>
      </w:pPr>
      <w:r>
        <w:t>Experimental Methodology</w:t>
      </w:r>
    </w:p>
    <w:p>
      <w:pPr>
        <w:spacing w:after="120"/>
      </w:pPr>
      <w:r>
        <w:t>The same corpus, query set, document/query identifiers, normalized vectors, and qrels are used for every comparison. Documents are encoded offline; queries are encoded at search time. Exact cosine kNN provides an exhaustive reference baseline, while HNSW and IVF approximate the same inner-product search space. Retrieval quality is measured against qrels; efficiency is measured via latency, speedup vs. exact search, and candidate-vector estimates.</w:t>
      </w:r>
    </w:p>
    <w:p>
      <w:pPr>
        <w:shd w:fill="F2F2F2" w:val="clear"/>
        <w:spacing w:after="120"/>
      </w:pPr>
      <w:r>
        <w:rPr>
          <w:rFonts w:ascii="Consolas" w:cs="Consolas" w:eastAsia="Consolas" w:hAnsi="Consolas"/>
          <w:sz w:val="18"/>
          <w:szCs w:val="18"/>
        </w:rPr>
        <w:t>SciFact corpus + queries + qrels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  |</w:t>
      </w:r>
      <w:r>
        <w:rPr>
          <w:rFonts w:ascii="Consolas" w:cs="Consolas" w:eastAsia="Consolas" w:hAnsi="Consolas"/>
          <w:sz w:val="18"/>
          <w:szCs w:val="18"/>
        </w:rPr>
        <w:br/>
        <w:t xml:space="preserve">      Validate and align IDs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  |</w:t>
      </w:r>
      <w:r>
        <w:rPr>
          <w:rFonts w:ascii="Consolas" w:cs="Consolas" w:eastAsia="Consolas" w:hAnsi="Consolas"/>
          <w:sz w:val="18"/>
          <w:szCs w:val="18"/>
        </w:rPr>
        <w:br/>
        <w:t xml:space="preserve">   +----------+-----------+</w:t>
      </w:r>
      <w:r>
        <w:rPr>
          <w:rFonts w:ascii="Consolas" w:cs="Consolas" w:eastAsia="Consolas" w:hAnsi="Consolas"/>
          <w:sz w:val="18"/>
          <w:szCs w:val="18"/>
        </w:rPr>
        <w:br/>
        <w:t xml:space="preserve">   |                      |</w:t>
      </w:r>
      <w:r>
        <w:rPr>
          <w:rFonts w:ascii="Consolas" w:cs="Consolas" w:eastAsia="Consolas" w:hAnsi="Consolas"/>
          <w:sz w:val="18"/>
          <w:szCs w:val="18"/>
        </w:rPr>
        <w:br/>
        <w:t>Encoder 1              Encoder 2</w:t>
      </w:r>
      <w:r>
        <w:rPr>
          <w:rFonts w:ascii="Consolas" w:cs="Consolas" w:eastAsia="Consolas" w:hAnsi="Consolas"/>
          <w:sz w:val="18"/>
          <w:szCs w:val="18"/>
        </w:rPr>
        <w:br/>
        <w:t>DistilBERT             BGE-large</w:t>
      </w:r>
      <w:r>
        <w:rPr>
          <w:rFonts w:ascii="Consolas" w:cs="Consolas" w:eastAsia="Consolas" w:hAnsi="Consolas"/>
          <w:sz w:val="18"/>
          <w:szCs w:val="18"/>
        </w:rPr>
        <w:br/>
        <w:t xml:space="preserve">   |                      |</w:t>
      </w:r>
      <w:r>
        <w:rPr>
          <w:rFonts w:ascii="Consolas" w:cs="Consolas" w:eastAsia="Consolas" w:hAnsi="Consolas"/>
          <w:sz w:val="18"/>
          <w:szCs w:val="18"/>
        </w:rPr>
        <w:br/>
        <w:t>Normalized vectors   Normalized vectors</w:t>
      </w:r>
      <w:r>
        <w:rPr>
          <w:rFonts w:ascii="Consolas" w:cs="Consolas" w:eastAsia="Consolas" w:hAnsi="Consolas"/>
          <w:sz w:val="18"/>
          <w:szCs w:val="18"/>
        </w:rPr>
        <w:br/>
        <w:t xml:space="preserve">   |                      |</w:t>
      </w:r>
      <w:r>
        <w:rPr>
          <w:rFonts w:ascii="Consolas" w:cs="Consolas" w:eastAsia="Consolas" w:hAnsi="Consolas"/>
          <w:sz w:val="18"/>
          <w:szCs w:val="18"/>
        </w:rPr>
        <w:br/>
        <w:t xml:space="preserve">   +----------+-----------+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  |</w:t>
      </w:r>
      <w:r>
        <w:rPr>
          <w:rFonts w:ascii="Consolas" w:cs="Consolas" w:eastAsia="Consolas" w:hAnsi="Consolas"/>
          <w:sz w:val="18"/>
          <w:szCs w:val="18"/>
        </w:rPr>
        <w:br/>
        <w:t xml:space="preserve"> Exact kNN / HNSW / IVF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  |</w:t>
      </w:r>
      <w:r>
        <w:rPr>
          <w:rFonts w:ascii="Consolas" w:cs="Consolas" w:eastAsia="Consolas" w:hAnsi="Consolas"/>
          <w:sz w:val="18"/>
          <w:szCs w:val="18"/>
        </w:rPr>
        <w:br/>
        <w:t xml:space="preserve"> Recall@5, latency, speedup,</w:t>
      </w:r>
      <w:r>
        <w:rPr>
          <w:rFonts w:ascii="Consolas" w:cs="Consolas" w:eastAsia="Consolas" w:hAnsi="Consolas"/>
          <w:sz w:val="18"/>
          <w:szCs w:val="18"/>
        </w:rPr>
        <w:br/>
        <w:t xml:space="preserve"> candidate estimates, examples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  |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Final recommendation</w:t>
      </w:r>
    </w:p>
    <w:p>
      <w:pPr>
        <w:pStyle w:val="Heading2"/>
        <w:spacing w:after="120" w:before="240"/>
      </w:pPr>
      <w:r>
        <w:t>Task 1 — Dataset Details and Source</w:t>
      </w:r>
    </w:p>
    <w:p>
      <w:pPr>
        <w:pStyle w:val="ListParagraph"/>
        <w:numPr>
          <w:ilvl w:val="0"/>
          <w:numId w:val="1"/>
        </w:numPr>
        <w:spacing w:after="60"/>
      </w:pPr>
      <w:r>
        <w:t>Name: SciFact (BEIR benchmark; biomedical / scientific-claim verification)</w:t>
      </w:r>
    </w:p>
    <w:p>
      <w:pPr>
        <w:pStyle w:val="ListParagraph"/>
        <w:numPr>
          <w:ilvl w:val="0"/>
          <w:numId w:val="1"/>
        </w:numPr>
        <w:spacing w:after="60"/>
      </w:pPr>
      <w:r>
        <w:t>Citation: Wadden et al., Fact or Fiction: Verifying Scientific Claims, EMNLP 2020; redistributed by Thakur et al., BEIR, NeurIPS 2021</w:t>
      </w:r>
      <w:r>
        <w:t xml:space="preserve"> https://aclanthology.org/2020.emnlp-main.609/</w:t>
      </w:r>
    </w:p>
    <w:p>
      <w:pPr>
        <w:pStyle w:val="ListParagraph"/>
        <w:numPr>
          <w:ilvl w:val="0"/>
          <w:numId w:val="1"/>
        </w:numPr>
        <w:spacing w:after="60"/>
      </w:pPr>
      <w:r>
        <w:t>Source: https://huggingface.co/datasets/BeIR/scifact (corpus + queries), https://huggingface.co/datasets/BeIR/scifact-qrels (relevance judgments)</w:t>
      </w:r>
    </w:p>
    <w:p>
      <w:pPr>
        <w:pStyle w:val="ListParagraph"/>
        <w:numPr>
          <w:ilvl w:val="0"/>
          <w:numId w:val="1"/>
        </w:numPr>
        <w:spacing w:after="60"/>
      </w:pPr>
      <w:r>
        <w:t>Size (executed): 5,183 corpus passages, 300 queries each with ≥1 relevance judgment, 339 total qrels, binary relevance</w:t>
      </w:r>
    </w:p>
    <w:p>
      <w:pPr>
        <w:spacing w:after="120"/>
      </w:pPr>
      <w:r>
        <w:t>The assignment explicitly permits an existing dataset containing query-document relevance labels — BEIR datasets bundle exactly that, avoiding hand-built (and inconsistent) relevance judgments. SciFact's claim-verification domain gives clean, unambiguous labels, useful later for Tasks 3 and 7. Corpus and queries clear the assignment minimums by ~5x and ~6x respectively.</w:t>
      </w:r>
    </w:p>
    <w:p>
      <w:pPr>
        <w:pStyle w:val="Heading2"/>
        <w:spacing w:after="120" w:before="240"/>
      </w:pPr>
      <w:r>
        <w:t>Task 2 — Embedding Generation and Pooling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1800"/>
        <w:gridCol w:w="1800"/>
        <w:gridCol w:w="1560"/>
      </w:tblGrid>
      <w:tr>
        <w:tc>
          <w:tcPr>
            <w:tcW w:type="dxa" w:w="2800"/>
            <w:shd w:fill="DCE6F1" w:val="clear"/>
          </w:tcPr>
          <w:p>
            <w:r>
              <w:rPr>
                <w:b/>
                <w:bCs/>
                <w:sz w:val="20"/>
                <w:szCs w:val="20"/>
              </w:rPr>
              <w:t>Model</w:t>
            </w:r>
          </w:p>
        </w:tc>
        <w:tc>
          <w:tcPr>
            <w:tcW w:type="dxa" w:w="1400"/>
            <w:shd w:fill="DCE6F1" w:val="clear"/>
          </w:tcPr>
          <w:p>
            <w:r>
              <w:rPr>
                <w:b/>
                <w:bCs/>
                <w:sz w:val="20"/>
                <w:szCs w:val="20"/>
              </w:rPr>
              <w:t>Dimension</w:t>
            </w:r>
          </w:p>
        </w:tc>
        <w:tc>
          <w:tcPr>
            <w:tcW w:type="dxa" w:w="1800"/>
            <w:shd w:fill="DCE6F1" w:val="clear"/>
          </w:tcPr>
          <w:p>
            <w:r>
              <w:rPr>
                <w:b/>
                <w:bCs/>
                <w:sz w:val="20"/>
                <w:szCs w:val="20"/>
              </w:rPr>
              <w:t>Max input length</w:t>
            </w:r>
          </w:p>
        </w:tc>
        <w:tc>
          <w:tcPr>
            <w:tcW w:type="dxa" w:w="1800"/>
            <w:shd w:fill="DCE6F1" w:val="clear"/>
          </w:tcPr>
          <w:p>
            <w:r>
              <w:rPr>
                <w:b/>
                <w:bCs/>
                <w:sz w:val="20"/>
                <w:szCs w:val="20"/>
              </w:rPr>
              <w:t>Pooling</w:t>
            </w:r>
          </w:p>
        </w:tc>
        <w:tc>
          <w:tcPr>
            <w:tcW w:type="dxa" w:w="1560"/>
            <w:shd w:fill="DCE6F1" w:val="clear"/>
          </w:tcPr>
          <w:p>
            <w:r>
              <w:rPr>
                <w:b/>
                <w:bCs/>
                <w:sz w:val="20"/>
                <w:szCs w:val="20"/>
              </w:rPr>
              <w:t>Approx. doc embedding time</w:t>
            </w:r>
          </w:p>
        </w:tc>
      </w:tr>
      <w:tr>
        <w:tc>
          <w:tcPr>
            <w:tcW w:type="dxa" w:w="2800"/>
          </w:tcPr>
          <w:p>
            <w:r>
              <w:rPr>
                <w:b w:val="false"/>
                <w:bCs w:val="false"/>
                <w:sz w:val="20"/>
                <w:szCs w:val="20"/>
              </w:rPr>
              <w:t>distilbert-base-uncased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sz w:val="20"/>
                <w:szCs w:val="20"/>
              </w:rPr>
              <w:t>768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sz w:val="20"/>
                <w:szCs w:val="20"/>
              </w:rPr>
              <w:t>512 tokens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sz w:val="20"/>
                <w:szCs w:val="20"/>
              </w:rPr>
              <w:t>Mean pooling</w:t>
            </w:r>
          </w:p>
        </w:tc>
        <w:tc>
          <w:tcPr>
            <w:tcW w:type="dxa" w:w="1560"/>
          </w:tcPr>
          <w:p>
            <w:r>
              <w:t>341.12 s (CPU)</w:t>
            </w:r>
          </w:p>
        </w:tc>
      </w:tr>
      <w:tr>
        <w:tc>
          <w:tcPr>
            <w:tcW w:type="dxa" w:w="2800"/>
          </w:tcPr>
          <w:p>
            <w:r>
              <w:rPr>
                <w:b w:val="false"/>
                <w:bCs w:val="false"/>
                <w:sz w:val="20"/>
                <w:szCs w:val="20"/>
              </w:rPr>
              <w:t>BAAI/bge-large-en-v1.5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sz w:val="20"/>
                <w:szCs w:val="20"/>
              </w:rPr>
              <w:t>1024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sz w:val="20"/>
                <w:szCs w:val="20"/>
              </w:rPr>
              <w:t>512 tokens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sz w:val="20"/>
                <w:szCs w:val="20"/>
              </w:rPr>
              <w:t>[CLS] token pooling</w:t>
            </w:r>
          </w:p>
        </w:tc>
        <w:tc>
          <w:tcPr>
            <w:tcW w:type="dxa" w:w="1560"/>
          </w:tcPr>
          <w:p>
            <w:r>
              <w:t>2034.55 s (CPU)</w:t>
            </w:r>
          </w:p>
        </w:tc>
      </w:tr>
    </w:tbl>
    <w:p>
      <w:pPr>
        <w:spacing w:after="120"/>
      </w:pPr>
      <w:r>
        <w:t>Task 2 was executed in the RunPod Virtual Lab using the CPU configuration recorded in the notebook (batch size 32 and 12 CPU threads). The report retains the measured document-encoding times in the comparison table; the saved embeddings are reused by later tasks.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2381842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8-24 223208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3818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8"/>
        </w:rPr>
        <w:t>Task 2 execution evidence: CPU timing and embedding shapes.</w:t>
      </w:r>
    </w:p>
    <w:p>
      <w:pPr>
        <w:spacing w:after="120"/>
      </w:pPr>
      <w:r>
        <w:t>Encoder models are appropriate for semantic representation because their bidirectional attention produces context-aware token representations that, when pooled into a single fixed-length vector, place semantically similar texts near each other in vector space — enabling similarity search via simple distance metrics instead of exact keyword matching. DistilBERT and BGE-large were chosen because they differ on exactly the axis this problem statement asks about: DistilBERT is smaller/faster and general-purpose, BGE-large is larger/slower and purpose-built for retrieval — and they use different pooling strategies (mean vs. [CLS]), giving Task 7 a real, explainable axis of disagreement.</w:t>
      </w:r>
    </w:p>
    <w:p>
      <w:pPr>
        <w:pStyle w:val="Heading1"/>
        <w:spacing w:after="150" w:before="300"/>
      </w:pPr>
      <w:r>
        <w:t>Module 2 — Similarity and Exact Retrieval</w:t>
      </w:r>
    </w:p>
    <w:p>
      <w:pPr>
        <w:pStyle w:val="Heading2"/>
        <w:spacing w:after="120" w:before="240"/>
      </w:pPr>
      <w:r>
        <w:t>Task 3 — Similarity Metric Comparison</w:t>
      </w:r>
    </w:p>
    <w:p>
      <w:pPr>
        <w:spacing w:after="120"/>
      </w:pPr>
      <w:r>
        <w:t>25 query-document pairs were sampled across 5 queries (≥20 required): each query paired with its known-relevant documents plus 4 random distractors. All three metrics were implemented directly from their mathematical definitions, not called as library black boxes.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155703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sted Image 5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15570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8"/>
        </w:rPr>
        <w:t>Task 3 execution evidence: metric definitions and pair-selection setup.</w:t>
      </w:r>
    </w:p>
    <w:p>
      <w:pPr>
        <w:pStyle w:val="Heading3"/>
        <w:spacing w:after="90" w:before="180"/>
      </w:pPr>
      <w:r>
        <w:t>Finding 1 — BGE-large (already unit-normalized)</w:t>
      </w:r>
    </w:p>
    <w:p>
      <w:pPr>
        <w:spacing w:after="120"/>
      </w:pPr>
      <w:r>
        <w:t>Document-vector norms: mean=1.0000, std=0.0000. Ranking changed across metrics for 0/5 queries — cosine, dot product, and L2 agree completely because sentence-transformers L2-normalizes BGE's output internally. This demonstrates the identities dot(â,b̂)=cos(a,b) and ‖â−b̂‖²=2−2·cos(a,b) hold for unit vectors, but shows no divergence to explain.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086947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869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8"/>
        </w:rPr>
        <w:t>Task 3 execution evidence: BGE ranking and normalization checks.</w:t>
      </w:r>
    </w:p>
    <w:p>
      <w:pPr>
        <w:pStyle w:val="Heading3"/>
        <w:spacing w:after="90" w:before="180"/>
      </w:pPr>
      <w:r>
        <w:t>Finding 2 — DistilBERT (genuinely un-normalized)</w:t>
      </w:r>
    </w:p>
    <w:p>
      <w:pPr>
        <w:spacing w:after="120"/>
      </w:pPr>
      <w:r>
        <w:t>Document-vector norms: mean=7.851, std=0.313 (range 7.42–8.56). Raw dot-product ranking DIFFERS from cosine for 4/5 queries, purely because norms vary. After L2-normalization, the identities hold exactly: dot==cosine for 25/25 pairs, ‖a−b‖²==2−2·cos for 25/25 pairs.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160149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sted Image 4rt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601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8"/>
        </w:rPr>
        <w:t>Task 3 execution evidence: DistilBERT normalization and ranking checks.</w:t>
      </w:r>
    </w:p>
    <w:p>
      <w:pPr>
        <w:spacing w:after="120"/>
      </w:pPr>
      <w:r>
        <w:rPr>
          <w:b/>
          <w:bCs/>
        </w:rPr>
        <w:t xml:space="preserve">Conclusion. </w:t>
      </w:r>
      <w:r>
        <w:t>Cosine similarity is the most appropriate metric for this setup: it is scale-invariant, so it is robust regardless of whether an embedding model normalizes internally. Normalization has no effect on already-unit-length embeddings (BGE) but materially changes dot-product rankings on un-normalized ones (DistilBERT) — this is the practical reason retrieval systems normalize before using dot product.</w:t>
      </w:r>
    </w:p>
    <w:p>
      <w:pPr>
        <w:pStyle w:val="Heading2"/>
        <w:spacing w:after="120" w:before="240"/>
      </w:pPr>
      <w:r>
        <w:t>Task 4 — Exact kNN Baseline</w:t>
      </w:r>
    </w:p>
    <w:p>
      <w:pPr>
        <w:spacing w:after="120"/>
      </w:pPr>
      <w:r>
        <w:t>Exact brute-force kNN: for every query, cosine similarity is computed against all 5,183 document embeddings (one matrix-vector dot product, since Task 3 established dot product equals cosine on normalized vectors), and the Top-5 are retrieved via argsort. A genuinely exhaustive baseline is required so Task 5/6's speed-relative-to-exact comparison means something real.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60"/>
        <w:gridCol w:w="4000"/>
      </w:tblGrid>
      <w:tr>
        <w:tc>
          <w:tcPr>
            <w:tcW w:type="dxa" w:w="5360"/>
            <w:shd w:fill="DCE6F1" w:val="clear"/>
          </w:tcPr>
          <w:p>
            <w:r>
              <w:rPr>
                <w:b/>
                <w:bCs/>
                <w:sz w:val="20"/>
                <w:szCs w:val="20"/>
              </w:rPr>
              <w:t>Metric</w:t>
            </w:r>
          </w:p>
        </w:tc>
        <w:tc>
          <w:tcPr>
            <w:tcW w:type="dxa" w:w="4000"/>
            <w:shd w:fill="DCE6F1" w:val="clear"/>
          </w:tcPr>
          <w:p>
            <w:r>
              <w:rPr>
                <w:b/>
                <w:bCs/>
                <w:sz w:val="20"/>
                <w:szCs w:val="20"/>
              </w:rPr>
              <w:t>Value</w:t>
            </w:r>
          </w:p>
        </w:tc>
      </w:tr>
      <w:tr>
        <w:tc>
          <w:tcPr>
            <w:tcW w:type="dxa" w:w="5360"/>
          </w:tcPr>
          <w:p>
            <w:r>
              <w:rPr>
                <w:b w:val="false"/>
                <w:bCs w:val="false"/>
                <w:sz w:val="20"/>
                <w:szCs w:val="20"/>
              </w:rPr>
              <w:t>Queries evaluated</w:t>
            </w:r>
          </w:p>
        </w:tc>
        <w:tc>
          <w:tcPr>
            <w:tcW w:type="dxa" w:w="4000"/>
          </w:tcPr>
          <w:p>
            <w:r>
              <w:rPr>
                <w:b w:val="false"/>
                <w:bCs w:val="false"/>
                <w:sz w:val="20"/>
                <w:szCs w:val="20"/>
              </w:rPr>
              <w:t>300</w:t>
            </w:r>
          </w:p>
        </w:tc>
      </w:tr>
      <w:tr>
        <w:tc>
          <w:tcPr>
            <w:tcW w:type="dxa" w:w="5360"/>
          </w:tcPr>
          <w:p>
            <w:r>
              <w:t>Latency / query (median of 25 timed runs)</w:t>
            </w:r>
          </w:p>
        </w:tc>
        <w:tc>
          <w:tcPr>
            <w:tcW w:type="dxa" w:w="4000"/>
          </w:tcPr>
          <w:p>
            <w:r>
              <w:t>0.347 ms (mean 0.619 ms)</w:t>
            </w:r>
          </w:p>
        </w:tc>
      </w:tr>
      <w:tr>
        <w:tc>
          <w:tcPr>
            <w:tcW w:type="dxa" w:w="5360"/>
          </w:tcPr>
          <w:p>
            <w:r>
              <w:rPr>
                <w:b w:val="false"/>
                <w:bCs w:val="false"/>
                <w:sz w:val="20"/>
                <w:szCs w:val="20"/>
              </w:rPr>
              <w:t>Average Recall@5</w:t>
            </w:r>
          </w:p>
        </w:tc>
        <w:tc>
          <w:tcPr>
            <w:tcW w:type="dxa" w:w="4000"/>
          </w:tcPr>
          <w:p>
            <w:r>
              <w:rPr>
                <w:b w:val="false"/>
                <w:bCs w:val="false"/>
                <w:sz w:val="20"/>
                <w:szCs w:val="20"/>
              </w:rPr>
              <w:t>0.780</w:t>
            </w:r>
          </w:p>
        </w:tc>
      </w:tr>
      <w:tr>
        <w:tc>
          <w:tcPr>
            <w:tcW w:type="dxa" w:w="5360"/>
          </w:tcPr>
          <w:p>
            <w:r>
              <w:rPr>
                <w:b w:val="false"/>
                <w:bCs w:val="false"/>
                <w:sz w:val="20"/>
                <w:szCs w:val="20"/>
              </w:rPr>
              <w:t>Vectors examined per query</w:t>
            </w:r>
          </w:p>
        </w:tc>
        <w:tc>
          <w:tcPr>
            <w:tcW w:type="dxa" w:w="4000"/>
          </w:tcPr>
          <w:p>
            <w:r>
              <w:rPr>
                <w:b w:val="false"/>
                <w:bCs w:val="false"/>
                <w:sz w:val="20"/>
                <w:szCs w:val="20"/>
              </w:rPr>
              <w:t>5,183 (full corpus — exact search has no shortcut)</w:t>
            </w:r>
          </w:p>
        </w:tc>
      </w:tr>
    </w:tbl>
    <w:p>
      <w:pPr>
        <w:pStyle w:val="Heading1"/>
        <w:spacing w:after="150" w:before="300"/>
      </w:pPr>
      <w:r>
        <w:t>Module 3 — ANN Search Experiment</w:t>
      </w:r>
    </w:p>
    <w:p>
      <w:pPr>
        <w:pStyle w:val="Heading2"/>
        <w:spacing w:after="120" w:before="240"/>
      </w:pPr>
      <w:r>
        <w:t>Task 5 — HNSW vs IVF</w:t>
      </w:r>
    </w:p>
    <w:p>
      <w:pPr>
        <w:spacing w:after="120"/>
      </w:pPr>
      <w:r>
        <w:t>Both indexes were built on the same BGE-large embeddings and evaluated against the same 300 queries, using evaluate_index() (which reuses Task 4's Recall@5 definition and timing protocol so speedups compare like with like). HNSW's efSearch was swept across 4 values; IVF's nprobe was swept across 4 values (≥3 required for both).</w:t>
      </w:r>
    </w:p>
    <w:p>
      <w:pPr>
        <w:pStyle w:val="Heading3"/>
        <w:spacing w:after="90" w:before="180"/>
      </w:pPr>
      <w:r>
        <w:t>HNSW — efSearch sweep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DCE6F1" w:val="clear"/>
          </w:tcPr>
          <w:p>
            <w:r>
              <w:rPr>
                <w:b/>
                <w:bCs/>
                <w:sz w:val="20"/>
                <w:szCs w:val="20"/>
              </w:rPr>
              <w:t>efSearch</w:t>
            </w:r>
          </w:p>
        </w:tc>
        <w:tc>
          <w:tcPr>
            <w:tcW w:type="dxa" w:w="2340"/>
            <w:shd w:fill="DCE6F1" w:val="clear"/>
          </w:tcPr>
          <w:p>
            <w:r>
              <w:rPr>
                <w:b/>
                <w:bCs/>
                <w:sz w:val="20"/>
                <w:szCs w:val="20"/>
              </w:rPr>
              <w:t>Recall@5</w:t>
            </w:r>
          </w:p>
        </w:tc>
        <w:tc>
          <w:tcPr>
            <w:tcW w:type="dxa" w:w="2340"/>
            <w:shd w:fill="DCE6F1" w:val="clear"/>
          </w:tcPr>
          <w:p>
            <w:r>
              <w:rPr>
                <w:b/>
                <w:bCs/>
                <w:sz w:val="20"/>
                <w:szCs w:val="20"/>
              </w:rPr>
              <w:t>Latency</w:t>
            </w:r>
          </w:p>
        </w:tc>
        <w:tc>
          <w:tcPr>
            <w:tcW w:type="dxa" w:w="2340"/>
            <w:shd w:fill="DCE6F1" w:val="clear"/>
          </w:tcPr>
          <w:p>
            <w:r>
              <w:rPr>
                <w:b/>
                <w:bCs/>
                <w:sz w:val="20"/>
                <w:szCs w:val="20"/>
              </w:rPr>
              <w:t>Speedup vs. exact</w:t>
            </w:r>
          </w:p>
        </w:tc>
      </w:tr>
      <w:tr>
        <w:tc>
          <w:tcPr>
            <w:tcW w:type="dxa" w:w="2340"/>
          </w:tcPr>
          <w:p>
            <w:r>
              <w:t>16</w:t>
            </w:r>
          </w:p>
        </w:tc>
        <w:tc>
          <w:tcPr>
            <w:tcW w:type="dxa" w:w="2340"/>
          </w:tcPr>
          <w:p>
            <w:r>
              <w:t>0.777</w:t>
            </w:r>
          </w:p>
        </w:tc>
        <w:tc>
          <w:tcPr>
            <w:tcW w:type="dxa" w:w="2340"/>
          </w:tcPr>
          <w:p>
            <w:r>
              <w:t>0.042 ms</w:t>
            </w:r>
          </w:p>
        </w:tc>
        <w:tc>
          <w:tcPr>
            <w:tcW w:type="dxa" w:w="2340"/>
          </w:tcPr>
          <w:p>
            <w:r>
              <w:t>14.65x</w:t>
            </w:r>
          </w:p>
        </w:tc>
      </w:tr>
      <w:tr>
        <w:tc>
          <w:tcPr>
            <w:tcW w:type="dxa" w:w="2340"/>
          </w:tcPr>
          <w:p>
            <w:r>
              <w:t>32</w:t>
            </w:r>
          </w:p>
        </w:tc>
        <w:tc>
          <w:tcPr>
            <w:tcW w:type="dxa" w:w="2340"/>
          </w:tcPr>
          <w:p>
            <w:r>
              <w:t>0.777</w:t>
            </w:r>
          </w:p>
        </w:tc>
        <w:tc>
          <w:tcPr>
            <w:tcW w:type="dxa" w:w="2340"/>
          </w:tcPr>
          <w:p>
            <w:r>
              <w:t>0.071 ms</w:t>
            </w:r>
          </w:p>
        </w:tc>
        <w:tc>
          <w:tcPr>
            <w:tcW w:type="dxa" w:w="2340"/>
          </w:tcPr>
          <w:p>
            <w:r>
              <w:t>8.66x</w:t>
            </w:r>
          </w:p>
        </w:tc>
      </w:tr>
      <w:tr>
        <w:tc>
          <w:tcPr>
            <w:tcW w:type="dxa" w:w="2340"/>
          </w:tcPr>
          <w:p>
            <w:r>
              <w:t>64</w:t>
            </w:r>
          </w:p>
        </w:tc>
        <w:tc>
          <w:tcPr>
            <w:tcW w:type="dxa" w:w="2340"/>
          </w:tcPr>
          <w:p>
            <w:r>
              <w:t>0.780</w:t>
            </w:r>
          </w:p>
        </w:tc>
        <w:tc>
          <w:tcPr>
            <w:tcW w:type="dxa" w:w="2340"/>
          </w:tcPr>
          <w:p>
            <w:r>
              <w:t>0.139 ms</w:t>
            </w:r>
          </w:p>
        </w:tc>
        <w:tc>
          <w:tcPr>
            <w:tcW w:type="dxa" w:w="2340"/>
          </w:tcPr>
          <w:p>
            <w:r>
              <w:t>4.44x</w:t>
            </w:r>
          </w:p>
        </w:tc>
      </w:tr>
      <w:tr>
        <w:tc>
          <w:tcPr>
            <w:tcW w:type="dxa" w:w="2340"/>
          </w:tcPr>
          <w:p>
            <w:r>
              <w:t>128</w:t>
            </w:r>
          </w:p>
        </w:tc>
        <w:tc>
          <w:tcPr>
            <w:tcW w:type="dxa" w:w="2340"/>
          </w:tcPr>
          <w:p>
            <w:r>
              <w:t>0.780</w:t>
            </w:r>
          </w:p>
        </w:tc>
        <w:tc>
          <w:tcPr>
            <w:tcW w:type="dxa" w:w="2340"/>
          </w:tcPr>
          <w:p>
            <w:r>
              <w:t>0.224 ms</w:t>
            </w:r>
          </w:p>
        </w:tc>
        <w:tc>
          <w:tcPr>
            <w:tcW w:type="dxa" w:w="2340"/>
          </w:tcPr>
          <w:p>
            <w:r>
              <w:t>2.76x</w:t>
            </w:r>
          </w:p>
        </w:tc>
      </w:tr>
    </w:tbl>
    <w:p>
      <w:pPr>
        <w:pStyle w:val="Heading3"/>
        <w:spacing w:after="90" w:before="180"/>
      </w:pPr>
      <w:r>
        <w:t>IVF — nprobe sweep (nlist=100)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DCE6F1" w:val="clear"/>
          </w:tcPr>
          <w:p>
            <w:r>
              <w:rPr>
                <w:b/>
                <w:bCs/>
                <w:sz w:val="20"/>
                <w:szCs w:val="20"/>
              </w:rPr>
              <w:t>nprobe</w:t>
            </w:r>
          </w:p>
        </w:tc>
        <w:tc>
          <w:tcPr>
            <w:tcW w:type="dxa" w:w="2340"/>
            <w:shd w:fill="DCE6F1" w:val="clear"/>
          </w:tcPr>
          <w:p>
            <w:r>
              <w:rPr>
                <w:b/>
                <w:bCs/>
                <w:sz w:val="20"/>
                <w:szCs w:val="20"/>
              </w:rPr>
              <w:t>Recall@5</w:t>
            </w:r>
          </w:p>
        </w:tc>
        <w:tc>
          <w:tcPr>
            <w:tcW w:type="dxa" w:w="2340"/>
            <w:shd w:fill="DCE6F1" w:val="clear"/>
          </w:tcPr>
          <w:p>
            <w:r>
              <w:rPr>
                <w:b/>
                <w:bCs/>
                <w:sz w:val="20"/>
                <w:szCs w:val="20"/>
              </w:rPr>
              <w:t>Latency</w:t>
            </w:r>
          </w:p>
        </w:tc>
        <w:tc>
          <w:tcPr>
            <w:tcW w:type="dxa" w:w="2340"/>
            <w:shd w:fill="DCE6F1" w:val="clear"/>
          </w:tcPr>
          <w:p>
            <w:r>
              <w:rPr>
                <w:b/>
                <w:bCs/>
                <w:sz w:val="20"/>
                <w:szCs w:val="20"/>
              </w:rPr>
              <w:t>Speedup vs. exact</w:t>
            </w:r>
          </w:p>
        </w:tc>
      </w:tr>
      <w:tr>
        <w:tc>
          <w:tcPr>
            <w:tcW w:type="dxa" w:w="2340"/>
          </w:tcPr>
          <w:p>
            <w:r>
              <w:t>1</w:t>
            </w:r>
          </w:p>
        </w:tc>
        <w:tc>
          <w:tcPr>
            <w:tcW w:type="dxa" w:w="2340"/>
          </w:tcPr>
          <w:p>
            <w:r>
              <w:t>0.502</w:t>
            </w:r>
          </w:p>
        </w:tc>
        <w:tc>
          <w:tcPr>
            <w:tcW w:type="dxa" w:w="2340"/>
          </w:tcPr>
          <w:p>
            <w:r>
              <w:t>0.017 ms</w:t>
            </w:r>
          </w:p>
        </w:tc>
        <w:tc>
          <w:tcPr>
            <w:tcW w:type="dxa" w:w="2340"/>
          </w:tcPr>
          <w:p>
            <w:r>
              <w:t>35.77x</w:t>
            </w:r>
          </w:p>
        </w:tc>
      </w:tr>
      <w:tr>
        <w:tc>
          <w:tcPr>
            <w:tcW w:type="dxa" w:w="2340"/>
          </w:tcPr>
          <w:p>
            <w:r>
              <w:t>5</w:t>
            </w:r>
          </w:p>
        </w:tc>
        <w:tc>
          <w:tcPr>
            <w:tcW w:type="dxa" w:w="2340"/>
          </w:tcPr>
          <w:p>
            <w:r>
              <w:t>0.716</w:t>
            </w:r>
          </w:p>
        </w:tc>
        <w:tc>
          <w:tcPr>
            <w:tcW w:type="dxa" w:w="2340"/>
          </w:tcPr>
          <w:p>
            <w:r>
              <w:t>0.039 ms</w:t>
            </w:r>
          </w:p>
        </w:tc>
        <w:tc>
          <w:tcPr>
            <w:tcW w:type="dxa" w:w="2340"/>
          </w:tcPr>
          <w:p>
            <w:r>
              <w:t>15.91x</w:t>
            </w:r>
          </w:p>
        </w:tc>
      </w:tr>
      <w:tr>
        <w:tc>
          <w:tcPr>
            <w:tcW w:type="dxa" w:w="2340"/>
          </w:tcPr>
          <w:p>
            <w:r>
              <w:t>10</w:t>
            </w:r>
          </w:p>
        </w:tc>
        <w:tc>
          <w:tcPr>
            <w:tcW w:type="dxa" w:w="2340"/>
          </w:tcPr>
          <w:p>
            <w:r>
              <w:t>0.736</w:t>
            </w:r>
          </w:p>
        </w:tc>
        <w:tc>
          <w:tcPr>
            <w:tcW w:type="dxa" w:w="2340"/>
          </w:tcPr>
          <w:p>
            <w:r>
              <w:t>0.074 ms</w:t>
            </w:r>
          </w:p>
        </w:tc>
        <w:tc>
          <w:tcPr>
            <w:tcW w:type="dxa" w:w="2340"/>
          </w:tcPr>
          <w:p>
            <w:r>
              <w:t>8.36x</w:t>
            </w:r>
          </w:p>
        </w:tc>
      </w:tr>
      <w:tr>
        <w:tc>
          <w:tcPr>
            <w:tcW w:type="dxa" w:w="2340"/>
          </w:tcPr>
          <w:p>
            <w:r>
              <w:t>20</w:t>
            </w:r>
          </w:p>
        </w:tc>
        <w:tc>
          <w:tcPr>
            <w:tcW w:type="dxa" w:w="2340"/>
          </w:tcPr>
          <w:p>
            <w:r>
              <w:t>0.769</w:t>
            </w:r>
          </w:p>
        </w:tc>
        <w:tc>
          <w:tcPr>
            <w:tcW w:type="dxa" w:w="2340"/>
          </w:tcPr>
          <w:p>
            <w:r>
              <w:t>0.145 ms</w:t>
            </w:r>
          </w:p>
        </w:tc>
        <w:tc>
          <w:tcPr>
            <w:tcW w:type="dxa" w:w="2340"/>
          </w:tcPr>
          <w:p>
            <w:r>
              <w:t>4.26x</w:t>
            </w:r>
          </w:p>
        </w:tc>
      </w:tr>
    </w:tbl>
    <w:p>
      <w:pPr>
        <w:spacing w:after="120"/>
      </w:pPr>
      <w:r>
        <w:t>Index build time and memory consumption were not measured. HNSW adds graph-related overhead; IVF may reduce that graph overhead, but its total memory footprint was not measured here and must be verified on the target hardware.</w:t>
      </w:r>
    </w:p>
    <w:p>
      <w:pPr>
        <w:pStyle w:val="Heading2"/>
        <w:spacing w:after="120" w:before="240"/>
      </w:pPr>
      <w:r>
        <w:t>Task 6 — ANN Trade-off Analysis</w:t>
      </w:r>
    </w:p>
    <w:p>
      <w:pPr>
        <w:spacing w:after="120"/>
      </w:pPr>
      <w:r>
        <w:t>Figure 1 (left) plots Recall@5 vs. average query latency (log scale). Figure 1 (right) plots Recall@5 vs. speedup over exact search (log scale). The dashed line marks the minimum acceptable Recall@5 of 0.75.</w:t>
      </w:r>
    </w:p>
    <w:p>
      <w:pPr>
        <w:spacing w:after="120"/>
        <w:jc w:val="center"/>
      </w:pPr>
      <w:r/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37286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28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sz w:val="18"/>
          <w:szCs w:val="18"/>
        </w:rPr>
        <w:t>Figure 1. Recall@5 vs. latency (left) and vs. speedup (right), across all 8 tested configurations.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DCE6F1" w:val="clear"/>
          </w:tcPr>
          <w:p>
            <w:r>
              <w:rPr>
                <w:b/>
                <w:bCs/>
                <w:sz w:val="20"/>
                <w:szCs w:val="20"/>
              </w:rPr>
              <w:t>Selection</w:t>
            </w:r>
          </w:p>
        </w:tc>
        <w:tc>
          <w:tcPr>
            <w:tcW w:type="dxa" w:w="2340"/>
            <w:shd w:fill="DCE6F1" w:val="clear"/>
          </w:tcPr>
          <w:p>
            <w:r>
              <w:rPr>
                <w:b/>
                <w:bCs/>
                <w:sz w:val="20"/>
                <w:szCs w:val="20"/>
              </w:rPr>
              <w:t>Configuration</w:t>
            </w:r>
          </w:p>
        </w:tc>
        <w:tc>
          <w:tcPr>
            <w:tcW w:type="dxa" w:w="2340"/>
            <w:shd w:fill="DCE6F1" w:val="clear"/>
          </w:tcPr>
          <w:p>
            <w:r>
              <w:rPr>
                <w:b/>
                <w:bCs/>
                <w:sz w:val="20"/>
                <w:szCs w:val="20"/>
              </w:rPr>
              <w:t>Recall@5</w:t>
            </w:r>
          </w:p>
        </w:tc>
        <w:tc>
          <w:tcPr>
            <w:tcW w:type="dxa" w:w="2340"/>
            <w:shd w:fill="DCE6F1" w:val="clear"/>
          </w:tcPr>
          <w:p>
            <w:r>
              <w:rPr>
                <w:b/>
                <w:bCs/>
                <w:sz w:val="20"/>
                <w:szCs w:val="20"/>
              </w:rPr>
              <w:t>Latency</w:t>
            </w:r>
          </w:p>
        </w:tc>
      </w:tr>
      <w:tr>
        <w:tc>
          <w:tcPr>
            <w:tcW w:type="dxa" w:w="2340"/>
          </w:tcPr>
          <w:p>
            <w:r>
              <w:t>Fastest</w:t>
            </w:r>
          </w:p>
        </w:tc>
        <w:tc>
          <w:tcPr>
            <w:tcW w:type="dxa" w:w="2340"/>
          </w:tcPr>
          <w:p>
            <w:r>
              <w:t>IVF nprobe=1</w:t>
            </w:r>
          </w:p>
        </w:tc>
        <w:tc>
          <w:tcPr>
            <w:tcW w:type="dxa" w:w="2340"/>
          </w:tcPr>
          <w:p>
            <w:r>
              <w:t>0.502</w:t>
            </w:r>
          </w:p>
        </w:tc>
        <w:tc>
          <w:tcPr>
            <w:tcW w:type="dxa" w:w="2340"/>
          </w:tcPr>
          <w:p>
            <w:r>
              <w:t>0.017 ms</w:t>
            </w:r>
          </w:p>
        </w:tc>
      </w:tr>
      <w:tr>
        <w:tc>
          <w:tcPr>
            <w:tcW w:type="dxa" w:w="2340"/>
          </w:tcPr>
          <w:p>
            <w:r>
              <w:t>Highest recall</w:t>
            </w:r>
          </w:p>
        </w:tc>
        <w:tc>
          <w:tcPr>
            <w:tcW w:type="dxa" w:w="2340"/>
          </w:tcPr>
          <w:p>
            <w:r>
              <w:t>HNSW efSearch=64</w:t>
            </w:r>
          </w:p>
        </w:tc>
        <w:tc>
          <w:tcPr>
            <w:tcW w:type="dxa" w:w="2340"/>
          </w:tcPr>
          <w:p>
            <w:r>
              <w:t>0.780</w:t>
            </w:r>
          </w:p>
        </w:tc>
        <w:tc>
          <w:tcPr>
            <w:tcW w:type="dxa" w:w="2340"/>
          </w:tcPr>
          <w:p>
            <w:r>
              <w:t>0.139 ms</w:t>
            </w:r>
          </w:p>
        </w:tc>
      </w:tr>
      <w:tr>
        <w:tc>
          <w:tcPr>
            <w:tcW w:type="dxa" w:w="2340"/>
          </w:tcPr>
          <w:p>
            <w:r>
              <w:t>Best balanced</w:t>
            </w:r>
          </w:p>
        </w:tc>
        <w:tc>
          <w:tcPr>
            <w:tcW w:type="dxa" w:w="2340"/>
          </w:tcPr>
          <w:p>
            <w:r>
              <w:t>HNSW efSearch=16</w:t>
            </w:r>
          </w:p>
        </w:tc>
        <w:tc>
          <w:tcPr>
            <w:tcW w:type="dxa" w:w="2340"/>
          </w:tcPr>
          <w:p>
            <w:r>
              <w:t>0.777</w:t>
            </w:r>
          </w:p>
        </w:tc>
        <w:tc>
          <w:tcPr>
            <w:tcW w:type="dxa" w:w="2340"/>
          </w:tcPr>
          <w:p>
            <w:r>
              <w:t>0.042 ms</w:t>
            </w:r>
          </w:p>
        </w:tc>
      </w:tr>
    </w:tbl>
    <w:p>
      <w:pPr>
        <w:spacing w:after="120"/>
      </w:pPr>
      <w:r>
        <w:t>Recommendation for high query volume. Use HNSW efSearch=16, the fastest eligible configuration in the executed run (Recall@5 0.777) that meets the Recall@5 ≥ 0.75 quality bar. IVF nprobe=1 is fastest overall but its Recall@5 (0.502) falls well below the threshold and is rejected. HNSW efSearch=64 reaches the highest measured recall (0.780); IVF nprobe=20 reaches 0.769. Absolute latency and speedup are hardware-dependent and are reported per configuration in Tables 5–6 and the notebook's Task 6 output; recall is hardware-independent.</w:t>
      </w:r>
    </w:p>
    <w:p>
      <w:pPr>
        <w:pStyle w:val="Heading1"/>
        <w:spacing w:after="150" w:before="300"/>
      </w:pPr>
      <w:r>
        <w:t>Module 4 — Embedding Quality Analysis</w:t>
      </w:r>
    </w:p>
    <w:p>
      <w:pPr>
        <w:pStyle w:val="Heading2"/>
        <w:spacing w:after="120" w:before="240"/>
      </w:pPr>
      <w:r>
        <w:t>Task 7 — Qualitative Retrieval Analysis</w:t>
      </w:r>
    </w:p>
    <w:p>
      <w:pPr>
        <w:spacing w:after="120"/>
      </w:pPr>
      <w:r>
        <w:t>10 length-diverse queries (word counts 4–29) were selected and compared Top-5 results between both models. Jaccard measures Top-5 set overlap; a separate first-result-agreement value is reported since two models can retrieve the same documents in different order.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DCE6F1" w:val="clear"/>
          </w:tcPr>
          <w:p>
            <w:r>
              <w:rPr>
                <w:b/>
                <w:bCs/>
                <w:sz w:val="20"/>
                <w:szCs w:val="20"/>
              </w:rPr>
              <w:t>Metric</w:t>
            </w:r>
          </w:p>
        </w:tc>
        <w:tc>
          <w:tcPr>
            <w:tcW w:type="dxa" w:w="3120"/>
            <w:shd w:fill="DCE6F1" w:val="clear"/>
          </w:tcPr>
          <w:p>
            <w:r>
              <w:rPr>
                <w:b/>
                <w:bCs/>
                <w:sz w:val="20"/>
                <w:szCs w:val="20"/>
              </w:rPr>
              <w:t>DistilBERT</w:t>
            </w:r>
          </w:p>
        </w:tc>
        <w:tc>
          <w:tcPr>
            <w:tcW w:type="dxa" w:w="3120"/>
            <w:shd w:fill="DCE6F1" w:val="clear"/>
          </w:tcPr>
          <w:p>
            <w:r>
              <w:rPr>
                <w:b/>
                <w:bCs/>
                <w:sz w:val="20"/>
                <w:szCs w:val="20"/>
              </w:rPr>
              <w:t>BGE-large</w:t>
            </w:r>
          </w:p>
        </w:tc>
      </w:tr>
      <w:tr>
        <w:tc>
          <w:tcPr>
            <w:tcW w:type="dxa" w:w="3120"/>
          </w:tcPr>
          <w:p>
            <w:r>
              <w:rPr>
                <w:b w:val="false"/>
                <w:bCs w:val="false"/>
                <w:sz w:val="20"/>
                <w:szCs w:val="20"/>
              </w:rPr>
              <w:t>Mean lexical overlap</w:t>
            </w:r>
          </w:p>
        </w:tc>
        <w:tc>
          <w:tcPr>
            <w:tcW w:type="dxa" w:w="3120"/>
          </w:tcPr>
          <w:p>
            <w:r>
              <w:rPr>
                <w:b w:val="false"/>
                <w:bCs w:val="false"/>
                <w:sz w:val="20"/>
                <w:szCs w:val="20"/>
              </w:rPr>
              <w:t>0.280</w:t>
            </w:r>
          </w:p>
        </w:tc>
        <w:tc>
          <w:tcPr>
            <w:tcW w:type="dxa" w:w="3120"/>
          </w:tcPr>
          <w:p>
            <w:r>
              <w:rPr>
                <w:b w:val="false"/>
                <w:bCs w:val="false"/>
                <w:sz w:val="20"/>
                <w:szCs w:val="20"/>
              </w:rPr>
              <w:t>0.386</w:t>
            </w:r>
          </w:p>
        </w:tc>
      </w:tr>
      <w:tr>
        <w:tc>
          <w:tcPr>
            <w:tcW w:type="dxa" w:w="3120"/>
          </w:tcPr>
          <w:p>
            <w:r>
              <w:rPr>
                <w:b w:val="false"/>
                <w:bCs w:val="false"/>
                <w:sz w:val="20"/>
                <w:szCs w:val="20"/>
              </w:rPr>
              <w:t>Mean qrel hits@5</w:t>
            </w:r>
          </w:p>
        </w:tc>
        <w:tc>
          <w:tcPr>
            <w:tcW w:type="dxa" w:w="3120"/>
          </w:tcPr>
          <w:p>
            <w:r>
              <w:rPr>
                <w:b w:val="false"/>
                <w:bCs w:val="false"/>
                <w:sz w:val="20"/>
                <w:szCs w:val="20"/>
              </w:rPr>
              <w:t>0.300</w:t>
            </w:r>
          </w:p>
        </w:tc>
        <w:tc>
          <w:tcPr>
            <w:tcW w:type="dxa" w:w="3120"/>
          </w:tcPr>
          <w:p>
            <w:r>
              <w:rPr>
                <w:b w:val="false"/>
                <w:bCs w:val="false"/>
                <w:sz w:val="20"/>
                <w:szCs w:val="20"/>
              </w:rPr>
              <w:t>0.600</w:t>
            </w:r>
          </w:p>
        </w:tc>
      </w:tr>
    </w:tbl>
    <w:p>
      <w:pPr>
        <w:spacing w:after="120"/>
      </w:pPr>
      <w:r>
        <w:t>Mean Top-5 set overlap (Jaccard) across all 10 queries: 0.135. First-result agreement: 0.100. The two models genuinely retrieve different documents, not just different orderings of the same documents.</w:t>
      </w:r>
    </w:p>
    <w:p>
      <w:pPr>
        <w:pStyle w:val="Heading3"/>
        <w:spacing w:after="90" w:before="180"/>
      </w:pPr>
      <w:r>
        <w:t>Three distinct retrieval-difference types (executed examples)</w:t>
      </w:r>
    </w:p>
    <w:p>
      <w:pPr>
        <w:spacing w:after="120"/>
      </w:pPr>
      <w:r>
        <w:rPr>
          <w:b/>
          <w:bCs/>
        </w:rPr>
        <w:t>1. Retrieved sets diverge. Query “Tetraspanin-3 is a causative factor in the development of acute myelogenous leukemia” (12 words) — Top-5 sets share 0% overlap (Jaccard=0.00); BGE hits@5=1, DistilBERT hits@5=0. The two embedding spaces place this query in entirely different neighbourhoods.</w:t>
      </w:r>
      <w:r/>
    </w:p>
    <w:p>
      <w:pPr>
        <w:spacing w:after="120"/>
      </w:pPr>
      <w:r>
        <w:rPr>
          <w:b/>
          <w:bCs/>
        </w:rPr>
        <w:t>2. Semantic/domain-terminology match (BGE advantage). Query “Silencing of Bcl2 is important for the maintenance and progression of tumors” (12 words) — BGE hits@5=1 vs. DistilBERT hits@5=0 at comparable lexical overlap (0.45 vs. 0.40). BGE's contrastive retrieval training aligns domain terminology with the correct passage; DistilBERT matches more on surface form.</w:t>
      </w:r>
      <w:r/>
    </w:p>
    <w:p>
      <w:pPr>
        <w:spacing w:after="120"/>
      </w:pPr>
      <w:r>
        <w:rPr>
          <w:b/>
          <w:bCs/>
        </w:rPr>
        <w:t xml:space="preserve">3. Counter-example (DistilBERT advantage). </w:t>
      </w:r>
      <w:r>
        <w:t>Query “Statins decrease blood cholesterol” (4 words) — DistilBERT hits@5=1 vs. BGE hits@5=0. BGE wins on average but not universally; short, near-duplicate claims with high surface-form overlap can still favour the general model's keyword-matching behaviour.</w:t>
      </w:r>
    </w:p>
    <w:p>
      <w:pPr>
        <w:pStyle w:val="Heading2"/>
        <w:spacing w:after="120" w:before="240"/>
      </w:pPr>
      <w:r>
        <w:t>Task 8 — Final Recommendation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shd w:fill="DCE6F1" w:val="clear"/>
          </w:tcPr>
          <w:p>
            <w:r>
              <w:rPr>
                <w:b/>
                <w:bCs/>
                <w:sz w:val="20"/>
                <w:szCs w:val="20"/>
              </w:rPr>
              <w:t>Question</w:t>
            </w:r>
          </w:p>
        </w:tc>
        <w:tc>
          <w:tcPr>
            <w:tcW w:type="dxa" w:w="6160"/>
            <w:shd w:fill="DCE6F1" w:val="clear"/>
          </w:tcPr>
          <w:p>
            <w:r>
              <w:rPr>
                <w:b/>
                <w:bCs/>
                <w:sz w:val="20"/>
                <w:szCs w:val="20"/>
              </w:rPr>
              <w:t>Answer (evidence-based)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sz w:val="20"/>
                <w:szCs w:val="20"/>
              </w:rPr>
              <w:t>Q1. Best embedding model</w:t>
            </w:r>
          </w:p>
        </w:tc>
        <w:tc>
          <w:tcPr>
            <w:tcW w:type="dxa" w:w="6160"/>
          </w:tcPr>
          <w:p>
            <w:r>
              <w:t>BGE-large ? exact Recall@5 0.780 vs. 0.108 (7.2x higher)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sz w:val="20"/>
                <w:szCs w:val="20"/>
              </w:rPr>
              <w:t>Q2. Most appropriate metric</w:t>
            </w:r>
          </w:p>
        </w:tc>
        <w:tc>
          <w:tcPr>
            <w:tcW w:type="dxa" w:w="6160"/>
          </w:tcPr>
          <w:p>
            <w:r>
              <w:rPr>
                <w:b w:val="false"/>
                <w:bCs w:val="false"/>
                <w:sz w:val="20"/>
                <w:szCs w:val="20"/>
              </w:rPr>
              <w:t>Cosine — scale-invariant; identical ranking to dot/L2 on normalized vectors</w:t>
            </w:r>
          </w:p>
        </w:tc>
      </w:tr>
      <w:tr>
        <w:tc>
          <w:tcPr>
            <w:tcW w:type="dxa" w:w="3200"/>
          </w:tcPr>
          <w:p>
            <w:r>
              <w:t>Q3. Best ANN trade-off</w:t>
            </w:r>
          </w:p>
        </w:tc>
        <w:tc>
          <w:tcPr>
            <w:tcW w:type="dxa" w:w="6160"/>
          </w:tcPr>
          <w:p>
            <w:r>
              <w:t>HNSW efSearch=16 - Recall@5 0.777, fastest eligible configuration clearing the 0.75 bar (per-run speedup reported in Task 6)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sz w:val="20"/>
                <w:szCs w:val="20"/>
              </w:rPr>
              <w:t>Q4. Resource-constrained deployment</w:t>
            </w:r>
          </w:p>
        </w:tc>
        <w:tc>
          <w:tcPr>
            <w:tcW w:type="dxa" w:w="6160"/>
          </w:tcPr>
          <w:p>
            <w:r>
              <w:rPr>
                <w:b w:val="false"/>
                <w:bCs w:val="false"/>
                <w:sz w:val="20"/>
                <w:szCs w:val="20"/>
              </w:rPr>
              <w:t>IVF nprobe=20 — potentially lower graph overhead than HNSW; memory was not measured here, so verify the footprint on target hardware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sz w:val="20"/>
                <w:szCs w:val="20"/>
              </w:rPr>
              <w:t>Q5. Main limitation</w:t>
            </w:r>
          </w:p>
        </w:tc>
        <w:tc>
          <w:tcPr>
            <w:tcW w:type="dxa" w:w="6160"/>
          </w:tcPr>
          <w:p>
            <w:r>
              <w:rPr>
                <w:b w:val="false"/>
                <w:bCs w:val="false"/>
                <w:sz w:val="20"/>
                <w:szCs w:val="20"/>
              </w:rPr>
              <w:t>~5k-document corpus is small; ANN speedups may not extrapolate to millions of documents; SciFact's qrels are binary/incomplete; latency is hardware-dependent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sz w:val="20"/>
                <w:szCs w:val="20"/>
              </w:rPr>
              <w:t>Q6. Production deployment</w:t>
            </w:r>
          </w:p>
        </w:tc>
        <w:tc>
          <w:tcPr>
            <w:tcW w:type="dxa" w:w="6160"/>
          </w:tcPr>
          <w:p>
            <w:r>
              <w:rPr>
                <w:b w:val="false"/>
                <w:bCs w:val="false"/>
                <w:sz w:val="20"/>
                <w:szCs w:val="20"/>
              </w:rPr>
              <w:t>Batch-encode offline with BGE-large → L2-normalize → build the chosen FAISS index; apply the same encoder + normalization to queries at search time; rebuild/version the index as the corpus changes</w:t>
            </w:r>
          </w:p>
        </w:tc>
      </w:tr>
    </w:tbl>
    <w:p>
      <w:r/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737221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372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8"/>
        </w:rPr>
        <w:t>Task 8 execution evidence: exact cross-model comparison over 300 queries.</w:t>
      </w:r>
    </w:p>
    <w:p>
      <w:pPr>
        <w:pStyle w:val="Heading1"/>
        <w:spacing w:after="150" w:before="300"/>
      </w:pPr>
      <w:r>
        <w:t>Final Conclusion</w:t>
      </w:r>
    </w:p>
    <w:p>
      <w:pPr>
        <w:pStyle w:val="Heading2"/>
        <w:spacing w:after="120" w:before="240"/>
      </w:pPr>
      <w:r>
        <w:t>Recommendation</w:t>
      </w:r>
    </w:p>
    <w:p>
      <w:pPr>
        <w:spacing w:after="120"/>
      </w:pPr>
      <w:r>
        <w:t>Embed with BAAI/bge-large-en-v1.5 (unit-normalized) and serve an HNSW index at efSearch=16 — the fastest eligible configuration in the executed run (Recall@5 0.777), clearing the 0.75 bar. Where RAM is the binding constraint, use IVF nprobe=20 (Recall@5 0.769), but verify the memory footprint on target hardware because it was not measured here. Absolute latency and speedup are hardware-dependent (reported per run in Task 6); recall is not.</w:t>
      </w:r>
    </w:p>
    <w:p>
      <w:pPr>
        <w:pStyle w:val="Heading2"/>
        <w:spacing w:after="120" w:before="240"/>
      </w:pPr>
      <w:r>
        <w:t>Strengths</w:t>
      </w:r>
    </w:p>
    <w:p>
      <w:pPr>
        <w:spacing w:after="120"/>
      </w:pPr>
      <w:r>
        <w:t>Metric formulas implemented from definition rather than library calls; a genuinely exhaustive exact reference baseline; a normalization experiment that demonstrates a real effect (DistilBERT rankings change, BGE does not); controlled HNSW/IVF sweeps timed identically to the exact baseline for a fair speedup comparison; cross-model evaluation; and three distinct, evidence-backed retrieval-difference examples.</w:t>
      </w:r>
    </w:p>
    <w:p>
      <w:pPr>
        <w:pStyle w:val="Heading2"/>
        <w:spacing w:after="120" w:before="240"/>
      </w:pPr>
      <w:r>
        <w:t>Limitations</w:t>
      </w:r>
    </w:p>
    <w:p>
      <w:pPr>
        <w:spacing w:after="120"/>
      </w:pPr>
      <w:r>
        <w:t>SciFact's relevance judgements are binary and incomplete, and the ~5k-document corpus is small enough that ANN overhead can erode the speed benefit at this scale. Absolute latency is hardware-dependent. The qualitative study uses ten queries, and lexical overlap is only a surface-form diagnostic, not a full semantic-quality measure. The Recall@5 ≥ 0.75 threshold is a stated policy, not a universal SLA.</w:t>
      </w:r>
    </w:p>
    <w:p>
      <w:pPr>
        <w:pStyle w:val="Heading2"/>
        <w:spacing w:after="120" w:before="240"/>
      </w:pPr>
      <w:r>
        <w:t>Possible Improvements</w:t>
      </w:r>
    </w:p>
    <w:p>
      <w:pPr>
        <w:spacing w:after="120"/>
      </w:pPr>
      <w:r>
        <w:t>A larger corpus, graded relevance labels, a full-query (not 25-pair) metric comparison, a second benchmark dataset, broader ANN tuning (M, nlist, product quantization), index build-time and memory measurements, and an application-specific latency/recall SLA would all strengthen the generality of these conclusions.</w:t>
      </w:r>
    </w:p>
    <w:p>
      <w:pPr>
        <w:pStyle w:val="Heading1"/>
        <w:spacing w:after="150" w:before="300"/>
      </w:pPr>
      <w:r>
        <w:t>References</w:t>
      </w:r>
    </w:p>
    <w:p>
      <w:pPr>
        <w:pStyle w:val="ListParagraph"/>
        <w:numPr>
          <w:ilvl w:val="0"/>
          <w:numId w:val="1"/>
        </w:numPr>
        <w:spacing w:after="60"/>
      </w:pPr>
      <w:r>
        <w:t>Thakur, N. et al. (2021). BEIR: A Heterogeneous Benchmark for Zero-shot Evaluation of Information Retrieval Models. NeurIPS Datasets &amp; Benchmarks. (Task 1)</w:t>
      </w:r>
      <w:r>
        <w:t xml:space="preserve"> https://arxiv.org/abs/2104.08663</w:t>
      </w:r>
    </w:p>
    <w:p>
      <w:pPr>
        <w:pStyle w:val="ListParagraph"/>
        <w:numPr>
          <w:ilvl w:val="0"/>
          <w:numId w:val="1"/>
        </w:numPr>
        <w:spacing w:after="60"/>
      </w:pPr>
      <w:r>
        <w:t>Wadden, D. et al. (2020). Fact or Fiction: Verifying Scientific Claims. EMNLP. (Task 1)</w:t>
      </w:r>
      <w:r>
        <w:t xml:space="preserve"> https://aclanthology.org/2020.emnlp-main.609/</w:t>
      </w:r>
    </w:p>
    <w:p>
      <w:pPr>
        <w:pStyle w:val="ListParagraph"/>
        <w:numPr>
          <w:ilvl w:val="0"/>
          <w:numId w:val="1"/>
        </w:numPr>
        <w:spacing w:after="60"/>
      </w:pPr>
      <w:r>
        <w:t>Sanh, V. et al. (2019). DistilBERT, a distilled version of BERT. arXiv:1910.01108. (Task 2)</w:t>
      </w:r>
      <w:r>
        <w:t xml:space="preserve"> https://arxiv.org/abs/1910.01108</w:t>
      </w:r>
    </w:p>
    <w:p>
      <w:pPr>
        <w:pStyle w:val="ListParagraph"/>
        <w:numPr>
          <w:ilvl w:val="0"/>
          <w:numId w:val="1"/>
        </w:numPr>
        <w:spacing w:after="60"/>
      </w:pPr>
      <w:r>
        <w:t>Xiao, S., Liu, Z., Zhang, P., Muennighoff, N. (2023). C-Pack: Packaged Resources To Advance General Chinese Embedding. arXiv:2309.07597 — introduces the BGE model family. (Task 2)</w:t>
      </w:r>
      <w:r>
        <w:t xml:space="preserve"> https://arxiv.org/abs/2309.07597</w:t>
      </w:r>
    </w:p>
    <w:p>
      <w:pPr>
        <w:pStyle w:val="ListParagraph"/>
        <w:numPr>
          <w:ilvl w:val="0"/>
          <w:numId w:val="1"/>
        </w:numPr>
        <w:spacing w:after="60"/>
      </w:pPr>
      <w:r>
        <w:t>Malkov, Y., Yashunin, D. (2018). Efficient and robust approximate nearest neighbor search using HNSW graphs. arXiv:1603.09320. (Task 5)</w:t>
      </w:r>
      <w:r>
        <w:t xml:space="preserve"> https://arxiv.org/abs/1603.09320</w:t>
      </w:r>
    </w:p>
    <w:p>
      <w:pPr>
        <w:pStyle w:val="ListParagraph"/>
        <w:numPr>
          <w:ilvl w:val="0"/>
          <w:numId w:val="1"/>
        </w:numPr>
        <w:spacing w:after="60"/>
      </w:pPr>
      <w:r>
        <w:t>Johnson, J., Douze, M., Jégou, H. (2017). Billion-scale similarity search with GPUs (FAISS). arXiv:1702.08734. (Task 5)</w:t>
      </w:r>
      <w:r>
        <w:t xml:space="preserve"> https://arxiv.org/abs/1702.08734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7b3c95b036945d6f168c1713cf8cd5d27a09e62c.png"/><Relationship Id="rId8" Type="http://schemas.openxmlformats.org/officeDocument/2006/relationships/fontTable" Target="fontTable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"/><Relationship Id="rId15" Type="http://schemas.openxmlformats.org/officeDocument/2006/relationships/image" Target="media/image7."/><Relationship Id="rId16" Type="http://schemas.openxmlformats.org/officeDocument/2006/relationships/image" Target="media/image8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2026-08-23T06:15:50.137Z</dcterms:created>
  <dcterms:modified xsi:type="dcterms:W3CDTF">2026-08-23T06:15:50.138Z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