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F7740" w14:textId="408E86B3" w:rsidR="00862367" w:rsidRPr="00ED1334" w:rsidRDefault="00862367">
      <w:pPr>
        <w:rPr>
          <w:rFonts w:ascii="Algerian" w:hAnsi="Algerian"/>
          <w:sz w:val="32"/>
          <w:szCs w:val="32"/>
        </w:rPr>
      </w:pPr>
    </w:p>
    <w:p w14:paraId="36D26090" w14:textId="4EC2E534" w:rsidR="00862367" w:rsidRPr="00ED1334" w:rsidRDefault="00C90EAD">
      <w:pPr>
        <w:rPr>
          <w:rFonts w:ascii="Algerian" w:hAnsi="Algerian"/>
          <w:sz w:val="32"/>
          <w:szCs w:val="32"/>
        </w:rPr>
      </w:pPr>
      <w:bookmarkStart w:id="0" w:name="_GoBack"/>
      <w:bookmarkEnd w:id="0"/>
      <w:r>
        <w:rPr>
          <w:rFonts w:ascii="Algerian" w:hAnsi="Algerian"/>
          <w:sz w:val="32"/>
          <w:szCs w:val="32"/>
        </w:rPr>
        <w:t>EXPANSION</w:t>
      </w:r>
      <w:r w:rsidR="00862367" w:rsidRPr="00ED1334">
        <w:rPr>
          <w:rFonts w:ascii="Algerian" w:hAnsi="Algerian"/>
          <w:sz w:val="32"/>
          <w:szCs w:val="32"/>
        </w:rPr>
        <w:t xml:space="preserve"> Testing Machine </w:t>
      </w:r>
    </w:p>
    <w:p w14:paraId="41FB2BCA" w14:textId="5BCBAE8F" w:rsidR="00862367" w:rsidRPr="00ED1334" w:rsidRDefault="00862367">
      <w:pPr>
        <w:rPr>
          <w:rFonts w:ascii="Rockwell" w:hAnsi="Rockwell"/>
        </w:rPr>
      </w:pPr>
    </w:p>
    <w:p w14:paraId="2FF49D69" w14:textId="19A3A562" w:rsidR="00862367" w:rsidRPr="00ED1334" w:rsidRDefault="00862367">
      <w:pPr>
        <w:rPr>
          <w:rFonts w:ascii="Algerian" w:hAnsi="Algerian"/>
          <w:sz w:val="28"/>
          <w:szCs w:val="28"/>
        </w:rPr>
      </w:pPr>
      <w:r w:rsidRPr="00ED1334">
        <w:rPr>
          <w:rFonts w:ascii="Algerian" w:hAnsi="Algerian"/>
          <w:sz w:val="28"/>
          <w:szCs w:val="28"/>
        </w:rPr>
        <w:t>Wiring Details.</w:t>
      </w:r>
    </w:p>
    <w:tbl>
      <w:tblPr>
        <w:tblStyle w:val="TableGrid"/>
        <w:tblpPr w:leftFromText="180" w:rightFromText="180" w:vertAnchor="text" w:horzAnchor="margin" w:tblpXSpec="center" w:tblpY="362"/>
        <w:tblW w:w="0" w:type="auto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504"/>
      </w:tblGrid>
      <w:tr w:rsidR="008D749C" w:rsidRPr="00ED1334" w14:paraId="41F77D63" w14:textId="77777777" w:rsidTr="008D749C">
        <w:trPr>
          <w:trHeight w:val="339"/>
        </w:trPr>
        <w:tc>
          <w:tcPr>
            <w:tcW w:w="2480" w:type="dxa"/>
            <w:gridSpan w:val="5"/>
          </w:tcPr>
          <w:p w14:paraId="4F9C806C" w14:textId="77777777" w:rsidR="008D749C" w:rsidRPr="00ED1334" w:rsidRDefault="008D749C" w:rsidP="008D749C">
            <w:pPr>
              <w:pStyle w:val="NoSpacing"/>
              <w:jc w:val="center"/>
              <w:rPr>
                <w:rFonts w:ascii="Rockwell" w:hAnsi="Rockwell"/>
              </w:rPr>
            </w:pPr>
            <w:r w:rsidRPr="00ED1334">
              <w:rPr>
                <w:rFonts w:ascii="Rockwell" w:hAnsi="Rockwell"/>
              </w:rPr>
              <w:t>INPUT-1</w:t>
            </w:r>
          </w:p>
        </w:tc>
      </w:tr>
      <w:tr w:rsidR="008D749C" w:rsidRPr="00ED1334" w14:paraId="1698C329" w14:textId="77777777" w:rsidTr="008D749C">
        <w:trPr>
          <w:trHeight w:val="325"/>
        </w:trPr>
        <w:tc>
          <w:tcPr>
            <w:tcW w:w="494" w:type="dxa"/>
          </w:tcPr>
          <w:p w14:paraId="4E9203C0" w14:textId="77777777" w:rsidR="008D749C" w:rsidRPr="00ED1334" w:rsidRDefault="008D749C" w:rsidP="008D749C">
            <w:pPr>
              <w:pStyle w:val="NoSpacing"/>
              <w:jc w:val="center"/>
              <w:rPr>
                <w:rFonts w:ascii="Rockwell" w:hAnsi="Rockwell"/>
              </w:rPr>
            </w:pPr>
          </w:p>
        </w:tc>
        <w:tc>
          <w:tcPr>
            <w:tcW w:w="494" w:type="dxa"/>
          </w:tcPr>
          <w:p w14:paraId="52A6ACD9" w14:textId="77777777" w:rsidR="008D749C" w:rsidRPr="00ED1334" w:rsidRDefault="008D749C" w:rsidP="008D749C">
            <w:pPr>
              <w:pStyle w:val="NoSpacing"/>
              <w:jc w:val="center"/>
              <w:rPr>
                <w:rFonts w:ascii="Rockwell" w:hAnsi="Rockwell"/>
              </w:rPr>
            </w:pPr>
          </w:p>
        </w:tc>
        <w:tc>
          <w:tcPr>
            <w:tcW w:w="494" w:type="dxa"/>
          </w:tcPr>
          <w:p w14:paraId="5F41E157" w14:textId="6DE79EBD" w:rsidR="008D749C" w:rsidRPr="00ED1334" w:rsidRDefault="008D749C" w:rsidP="008D749C">
            <w:pPr>
              <w:pStyle w:val="NoSpacing"/>
              <w:jc w:val="center"/>
              <w:rPr>
                <w:rFonts w:ascii="Rockwell" w:hAnsi="Rockwell"/>
              </w:rPr>
            </w:pPr>
          </w:p>
        </w:tc>
        <w:tc>
          <w:tcPr>
            <w:tcW w:w="494" w:type="dxa"/>
          </w:tcPr>
          <w:p w14:paraId="7D6E9EA5" w14:textId="456284B0" w:rsidR="008D749C" w:rsidRPr="00ED1334" w:rsidRDefault="008D749C" w:rsidP="008D749C">
            <w:pPr>
              <w:pStyle w:val="NoSpacing"/>
              <w:jc w:val="center"/>
              <w:rPr>
                <w:rFonts w:ascii="Rockwell" w:hAnsi="Rockwell"/>
              </w:rPr>
            </w:pPr>
          </w:p>
        </w:tc>
        <w:tc>
          <w:tcPr>
            <w:tcW w:w="504" w:type="dxa"/>
          </w:tcPr>
          <w:p w14:paraId="17C90A31" w14:textId="7D3516E2" w:rsidR="008D749C" w:rsidRPr="00ED1334" w:rsidRDefault="008D749C" w:rsidP="008D749C">
            <w:pPr>
              <w:pStyle w:val="NoSpacing"/>
              <w:jc w:val="center"/>
              <w:rPr>
                <w:rFonts w:ascii="Rockwell" w:hAnsi="Rockwell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62"/>
        <w:tblW w:w="0" w:type="auto"/>
        <w:tblLook w:val="04A0" w:firstRow="1" w:lastRow="0" w:firstColumn="1" w:lastColumn="0" w:noHBand="0" w:noVBand="1"/>
      </w:tblPr>
      <w:tblGrid>
        <w:gridCol w:w="776"/>
        <w:gridCol w:w="801"/>
        <w:gridCol w:w="668"/>
        <w:gridCol w:w="634"/>
      </w:tblGrid>
      <w:tr w:rsidR="008D749C" w:rsidRPr="00ED1334" w14:paraId="627B879C" w14:textId="77777777" w:rsidTr="008D749C">
        <w:trPr>
          <w:trHeight w:val="336"/>
        </w:trPr>
        <w:tc>
          <w:tcPr>
            <w:tcW w:w="2879" w:type="dxa"/>
            <w:gridSpan w:val="4"/>
          </w:tcPr>
          <w:p w14:paraId="5D60B7E4" w14:textId="77777777" w:rsidR="008D749C" w:rsidRPr="00ED1334" w:rsidRDefault="008D749C" w:rsidP="008D749C">
            <w:pPr>
              <w:pStyle w:val="NoSpacing"/>
              <w:jc w:val="center"/>
              <w:rPr>
                <w:rFonts w:ascii="Rockwell" w:hAnsi="Rockwell"/>
              </w:rPr>
            </w:pPr>
            <w:r w:rsidRPr="00ED1334">
              <w:rPr>
                <w:rFonts w:ascii="Rockwell" w:hAnsi="Rockwell"/>
              </w:rPr>
              <w:t>LOAD CELL</w:t>
            </w:r>
          </w:p>
        </w:tc>
      </w:tr>
      <w:tr w:rsidR="008D749C" w:rsidRPr="00ED1334" w14:paraId="67046E65" w14:textId="77777777" w:rsidTr="008D749C">
        <w:trPr>
          <w:trHeight w:val="323"/>
        </w:trPr>
        <w:tc>
          <w:tcPr>
            <w:tcW w:w="776" w:type="dxa"/>
            <w:shd w:val="clear" w:color="auto" w:fill="FF0000"/>
          </w:tcPr>
          <w:p w14:paraId="380E4716" w14:textId="77777777" w:rsidR="008D749C" w:rsidRPr="00ED1334" w:rsidRDefault="008D749C" w:rsidP="008D749C">
            <w:pPr>
              <w:pStyle w:val="NoSpacing"/>
              <w:jc w:val="center"/>
              <w:rPr>
                <w:rFonts w:ascii="Rockwell" w:hAnsi="Rockwell"/>
              </w:rPr>
            </w:pPr>
            <w:r w:rsidRPr="00ED1334">
              <w:rPr>
                <w:rFonts w:ascii="Rockwell" w:hAnsi="Rockwell"/>
              </w:rPr>
              <w:t>Ex+</w:t>
            </w:r>
          </w:p>
        </w:tc>
        <w:tc>
          <w:tcPr>
            <w:tcW w:w="801" w:type="dxa"/>
            <w:shd w:val="clear" w:color="auto" w:fill="00B050"/>
          </w:tcPr>
          <w:p w14:paraId="16C9E18C" w14:textId="77777777" w:rsidR="008D749C" w:rsidRPr="00ED1334" w:rsidRDefault="008D749C" w:rsidP="008D749C">
            <w:pPr>
              <w:pStyle w:val="NoSpacing"/>
              <w:jc w:val="center"/>
              <w:rPr>
                <w:rFonts w:ascii="Rockwell" w:hAnsi="Rockwell"/>
              </w:rPr>
            </w:pPr>
            <w:r w:rsidRPr="00ED1334">
              <w:rPr>
                <w:rFonts w:ascii="Rockwell" w:hAnsi="Rockwell"/>
              </w:rPr>
              <w:t>Op+</w:t>
            </w:r>
          </w:p>
        </w:tc>
        <w:tc>
          <w:tcPr>
            <w:tcW w:w="668" w:type="dxa"/>
            <w:shd w:val="clear" w:color="auto" w:fill="FFFF00"/>
          </w:tcPr>
          <w:p w14:paraId="59DE876F" w14:textId="77777777" w:rsidR="008D749C" w:rsidRPr="00ED1334" w:rsidRDefault="008D749C" w:rsidP="008D749C">
            <w:pPr>
              <w:pStyle w:val="NoSpacing"/>
              <w:jc w:val="center"/>
              <w:rPr>
                <w:rFonts w:ascii="Rockwell" w:hAnsi="Rockwell"/>
              </w:rPr>
            </w:pPr>
            <w:r w:rsidRPr="00ED1334">
              <w:rPr>
                <w:rFonts w:ascii="Rockwell" w:hAnsi="Rockwell"/>
              </w:rPr>
              <w:t>Op-</w:t>
            </w:r>
          </w:p>
        </w:tc>
        <w:tc>
          <w:tcPr>
            <w:tcW w:w="634" w:type="dxa"/>
            <w:shd w:val="clear" w:color="auto" w:fill="000000" w:themeFill="text1"/>
          </w:tcPr>
          <w:p w14:paraId="48FE836B" w14:textId="77777777" w:rsidR="008D749C" w:rsidRPr="00ED1334" w:rsidRDefault="008D749C" w:rsidP="008D749C">
            <w:pPr>
              <w:pStyle w:val="NoSpacing"/>
              <w:jc w:val="center"/>
              <w:rPr>
                <w:rFonts w:ascii="Rockwell" w:hAnsi="Rockwell"/>
              </w:rPr>
            </w:pPr>
            <w:r w:rsidRPr="00ED1334">
              <w:rPr>
                <w:rFonts w:ascii="Rockwell" w:hAnsi="Rockwell"/>
              </w:rPr>
              <w:t>Ex-</w:t>
            </w:r>
          </w:p>
        </w:tc>
      </w:tr>
    </w:tbl>
    <w:tbl>
      <w:tblPr>
        <w:tblStyle w:val="TableGrid"/>
        <w:tblpPr w:leftFromText="180" w:rightFromText="180" w:vertAnchor="text" w:horzAnchor="page" w:tblpX="7381" w:tblpY="362"/>
        <w:tblW w:w="0" w:type="auto"/>
        <w:tblLook w:val="04A0" w:firstRow="1" w:lastRow="0" w:firstColumn="1" w:lastColumn="0" w:noHBand="0" w:noVBand="1"/>
      </w:tblPr>
      <w:tblGrid>
        <w:gridCol w:w="494"/>
        <w:gridCol w:w="494"/>
        <w:gridCol w:w="615"/>
        <w:gridCol w:w="494"/>
        <w:gridCol w:w="519"/>
      </w:tblGrid>
      <w:tr w:rsidR="008D749C" w:rsidRPr="00ED1334" w14:paraId="053C46BF" w14:textId="77777777" w:rsidTr="008D749C">
        <w:trPr>
          <w:trHeight w:val="335"/>
        </w:trPr>
        <w:tc>
          <w:tcPr>
            <w:tcW w:w="2480" w:type="dxa"/>
            <w:gridSpan w:val="5"/>
          </w:tcPr>
          <w:p w14:paraId="078B4755" w14:textId="77777777" w:rsidR="008D749C" w:rsidRPr="00ED1334" w:rsidRDefault="008D749C" w:rsidP="008D749C">
            <w:pPr>
              <w:pStyle w:val="NoSpacing"/>
              <w:jc w:val="center"/>
              <w:rPr>
                <w:rFonts w:ascii="Rockwell" w:hAnsi="Rockwell"/>
              </w:rPr>
            </w:pPr>
            <w:r w:rsidRPr="00ED1334">
              <w:rPr>
                <w:rFonts w:ascii="Rockwell" w:hAnsi="Rockwell"/>
              </w:rPr>
              <w:t>INPUT-2</w:t>
            </w:r>
          </w:p>
        </w:tc>
      </w:tr>
      <w:tr w:rsidR="008D749C" w:rsidRPr="00ED1334" w14:paraId="7F1A95B3" w14:textId="77777777" w:rsidTr="008D749C">
        <w:trPr>
          <w:trHeight w:val="322"/>
        </w:trPr>
        <w:tc>
          <w:tcPr>
            <w:tcW w:w="494" w:type="dxa"/>
          </w:tcPr>
          <w:p w14:paraId="7472D012" w14:textId="78BBDA0E" w:rsidR="008D749C" w:rsidRPr="00ED1334" w:rsidRDefault="008D749C" w:rsidP="008D749C">
            <w:pPr>
              <w:pStyle w:val="NoSpacing"/>
              <w:jc w:val="center"/>
              <w:rPr>
                <w:rFonts w:ascii="Rockwell" w:hAnsi="Rockwell"/>
              </w:rPr>
            </w:pPr>
          </w:p>
        </w:tc>
        <w:tc>
          <w:tcPr>
            <w:tcW w:w="494" w:type="dxa"/>
          </w:tcPr>
          <w:p w14:paraId="73A535B3" w14:textId="4AEE9357" w:rsidR="008D749C" w:rsidRPr="00ED1334" w:rsidRDefault="008D749C" w:rsidP="008D749C">
            <w:pPr>
              <w:pStyle w:val="NoSpacing"/>
              <w:jc w:val="center"/>
              <w:rPr>
                <w:rFonts w:ascii="Rockwell" w:hAnsi="Rockwell"/>
              </w:rPr>
            </w:pPr>
          </w:p>
        </w:tc>
        <w:tc>
          <w:tcPr>
            <w:tcW w:w="494" w:type="dxa"/>
          </w:tcPr>
          <w:p w14:paraId="240A1B46" w14:textId="184981A8" w:rsidR="008D749C" w:rsidRPr="00ED1334" w:rsidRDefault="00C90EAD" w:rsidP="008D749C">
            <w:pPr>
              <w:pStyle w:val="NoSpacing"/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O/P</w:t>
            </w:r>
          </w:p>
        </w:tc>
        <w:tc>
          <w:tcPr>
            <w:tcW w:w="494" w:type="dxa"/>
          </w:tcPr>
          <w:p w14:paraId="32C52106" w14:textId="78E2B6B1" w:rsidR="008D749C" w:rsidRPr="00ED1334" w:rsidRDefault="008D749C" w:rsidP="008D749C">
            <w:pPr>
              <w:pStyle w:val="NoSpacing"/>
              <w:jc w:val="center"/>
              <w:rPr>
                <w:rFonts w:ascii="Rockwell" w:hAnsi="Rockwell"/>
              </w:rPr>
            </w:pPr>
            <w:r w:rsidRPr="00ED1334">
              <w:rPr>
                <w:rFonts w:ascii="Rockwell" w:hAnsi="Rockwell"/>
              </w:rPr>
              <w:t>-V</w:t>
            </w:r>
          </w:p>
        </w:tc>
        <w:tc>
          <w:tcPr>
            <w:tcW w:w="504" w:type="dxa"/>
          </w:tcPr>
          <w:p w14:paraId="4F90BFCA" w14:textId="416C1B03" w:rsidR="008D749C" w:rsidRPr="00ED1334" w:rsidRDefault="00093DF1" w:rsidP="008D749C">
            <w:pPr>
              <w:pStyle w:val="NoSpacing"/>
              <w:jc w:val="center"/>
              <w:rPr>
                <w:rFonts w:ascii="Rockwell" w:hAnsi="Rockwell"/>
              </w:rPr>
            </w:pPr>
            <w:r w:rsidRPr="00ED1334">
              <w:rPr>
                <w:rFonts w:ascii="Rockwell" w:hAnsi="Rockwell"/>
              </w:rPr>
              <w:t>+V</w:t>
            </w:r>
          </w:p>
        </w:tc>
      </w:tr>
    </w:tbl>
    <w:p w14:paraId="360C5667" w14:textId="77777777" w:rsidR="00862367" w:rsidRPr="00ED1334" w:rsidRDefault="00862367" w:rsidP="008D749C">
      <w:pPr>
        <w:jc w:val="center"/>
        <w:rPr>
          <w:rFonts w:ascii="Rockwell" w:hAnsi="Rockwell"/>
        </w:rPr>
      </w:pPr>
    </w:p>
    <w:p w14:paraId="4F815209" w14:textId="2F3501E8" w:rsidR="00862367" w:rsidRPr="00ED1334" w:rsidRDefault="00862367" w:rsidP="008D749C">
      <w:pPr>
        <w:pStyle w:val="NoSpacing"/>
        <w:jc w:val="center"/>
        <w:rPr>
          <w:rFonts w:ascii="Rockwell" w:hAnsi="Rockwell"/>
        </w:rPr>
      </w:pPr>
    </w:p>
    <w:p w14:paraId="1F96E492" w14:textId="50A201FB" w:rsidR="00862367" w:rsidRPr="00ED1334" w:rsidRDefault="00862367" w:rsidP="008D749C">
      <w:pPr>
        <w:pStyle w:val="NoSpacing"/>
        <w:jc w:val="center"/>
        <w:rPr>
          <w:rFonts w:ascii="Rockwell" w:hAnsi="Rockwell"/>
        </w:rPr>
      </w:pPr>
    </w:p>
    <w:p w14:paraId="7232E268" w14:textId="371E17F4" w:rsidR="00862367" w:rsidRPr="00ED1334" w:rsidRDefault="00862367" w:rsidP="008D749C">
      <w:pPr>
        <w:pStyle w:val="NoSpacing"/>
        <w:jc w:val="center"/>
        <w:rPr>
          <w:rFonts w:ascii="Rockwell" w:hAnsi="Rockwell"/>
        </w:rPr>
      </w:pPr>
    </w:p>
    <w:p w14:paraId="1889CF4C" w14:textId="79E26069" w:rsidR="00093DF1" w:rsidRPr="00ED1334" w:rsidRDefault="00093DF1" w:rsidP="008D749C">
      <w:pPr>
        <w:pStyle w:val="NoSpacing"/>
        <w:jc w:val="center"/>
        <w:rPr>
          <w:rFonts w:ascii="Rockwell" w:hAnsi="Rockwell"/>
        </w:rPr>
      </w:pPr>
    </w:p>
    <w:p w14:paraId="7C99991F" w14:textId="6D20BA80" w:rsidR="00093DF1" w:rsidRPr="00ED1334" w:rsidRDefault="00093DF1" w:rsidP="00093DF1">
      <w:pPr>
        <w:pStyle w:val="NoSpacing"/>
        <w:jc w:val="both"/>
        <w:rPr>
          <w:rFonts w:ascii="Rockwell" w:hAnsi="Rockwell"/>
        </w:rPr>
      </w:pPr>
      <w:r w:rsidRPr="00ED1334">
        <w:rPr>
          <w:rFonts w:ascii="Rockwell" w:hAnsi="Rockwell"/>
        </w:rPr>
        <w:t>Ex</w:t>
      </w:r>
      <w:proofErr w:type="gramStart"/>
      <w:r w:rsidRPr="00ED1334">
        <w:rPr>
          <w:rFonts w:ascii="Rockwell" w:hAnsi="Rockwell"/>
        </w:rPr>
        <w:t>+ :</w:t>
      </w:r>
      <w:proofErr w:type="gramEnd"/>
      <w:r w:rsidRPr="00ED1334">
        <w:rPr>
          <w:rFonts w:ascii="Rockwell" w:hAnsi="Rockwell"/>
        </w:rPr>
        <w:t xml:space="preserve"> </w:t>
      </w:r>
      <w:proofErr w:type="spellStart"/>
      <w:r w:rsidRPr="00ED1334">
        <w:rPr>
          <w:rFonts w:ascii="Rockwell" w:hAnsi="Rockwell"/>
        </w:rPr>
        <w:t>Loadcell</w:t>
      </w:r>
      <w:proofErr w:type="spellEnd"/>
      <w:r w:rsidRPr="00ED1334">
        <w:rPr>
          <w:rFonts w:ascii="Rockwell" w:hAnsi="Rockwell"/>
        </w:rPr>
        <w:t xml:space="preserve"> Positive Excitation    </w:t>
      </w:r>
      <w:r w:rsidR="00C90EAD">
        <w:rPr>
          <w:rFonts w:ascii="Rockwell" w:hAnsi="Rockwell"/>
        </w:rPr>
        <w:t xml:space="preserve">  </w:t>
      </w:r>
      <w:r w:rsidR="00C90EAD">
        <w:rPr>
          <w:rFonts w:ascii="Rockwell" w:hAnsi="Rockwell"/>
        </w:rPr>
        <w:tab/>
        <w:t>O/P</w:t>
      </w:r>
      <w:r w:rsidR="00C90EAD" w:rsidRPr="00ED1334">
        <w:rPr>
          <w:rFonts w:ascii="Rockwell" w:hAnsi="Rockwell"/>
        </w:rPr>
        <w:t xml:space="preserve">: </w:t>
      </w:r>
      <w:r w:rsidR="00C90EAD">
        <w:rPr>
          <w:rFonts w:ascii="Rockwell" w:hAnsi="Rockwell"/>
        </w:rPr>
        <w:t>Extensometer output</w:t>
      </w:r>
    </w:p>
    <w:p w14:paraId="013A990B" w14:textId="09661AC1" w:rsidR="00C90EAD" w:rsidRPr="00ED1334" w:rsidRDefault="00093DF1" w:rsidP="00C90EAD">
      <w:pPr>
        <w:pStyle w:val="NoSpacing"/>
        <w:jc w:val="both"/>
        <w:rPr>
          <w:rFonts w:ascii="Rockwell" w:hAnsi="Rockwell"/>
        </w:rPr>
      </w:pPr>
      <w:r w:rsidRPr="00ED1334">
        <w:rPr>
          <w:rFonts w:ascii="Rockwell" w:hAnsi="Rockwell"/>
        </w:rPr>
        <w:t xml:space="preserve">Op+: </w:t>
      </w:r>
      <w:proofErr w:type="spellStart"/>
      <w:r w:rsidRPr="00ED1334">
        <w:rPr>
          <w:rFonts w:ascii="Rockwell" w:hAnsi="Rockwell"/>
        </w:rPr>
        <w:t>Loadcell</w:t>
      </w:r>
      <w:proofErr w:type="spellEnd"/>
      <w:r w:rsidRPr="00ED1334">
        <w:rPr>
          <w:rFonts w:ascii="Rockwell" w:hAnsi="Rockwell"/>
        </w:rPr>
        <w:t xml:space="preserve"> Positive Output         </w:t>
      </w:r>
      <w:r w:rsidRPr="00ED1334">
        <w:rPr>
          <w:rFonts w:ascii="Rockwell" w:hAnsi="Rockwell"/>
        </w:rPr>
        <w:tab/>
      </w:r>
      <w:r w:rsidR="00C90EAD">
        <w:rPr>
          <w:rFonts w:ascii="Rockwell" w:hAnsi="Rockwell"/>
        </w:rPr>
        <w:tab/>
      </w:r>
      <w:r w:rsidR="00C90EAD" w:rsidRPr="00ED1334">
        <w:rPr>
          <w:rFonts w:ascii="Rockwell" w:hAnsi="Rockwell"/>
        </w:rPr>
        <w:t xml:space="preserve">-V: Negative (Com) for </w:t>
      </w:r>
      <w:r w:rsidR="00C90EAD">
        <w:rPr>
          <w:rFonts w:ascii="Rockwell" w:hAnsi="Rockwell"/>
        </w:rPr>
        <w:t>Extensometer</w:t>
      </w:r>
    </w:p>
    <w:p w14:paraId="587CB7FB" w14:textId="72F3ADF9" w:rsidR="00093DF1" w:rsidRPr="00ED1334" w:rsidRDefault="00093DF1" w:rsidP="00093DF1">
      <w:pPr>
        <w:pStyle w:val="NoSpacing"/>
        <w:jc w:val="both"/>
        <w:rPr>
          <w:rFonts w:ascii="Rockwell" w:hAnsi="Rockwell"/>
        </w:rPr>
      </w:pPr>
      <w:r w:rsidRPr="00ED1334">
        <w:rPr>
          <w:rFonts w:ascii="Rockwell" w:hAnsi="Rockwell"/>
        </w:rPr>
        <w:t>Op</w:t>
      </w:r>
      <w:proofErr w:type="gramStart"/>
      <w:r w:rsidRPr="00ED1334">
        <w:rPr>
          <w:rFonts w:ascii="Rockwell" w:hAnsi="Rockwell"/>
        </w:rPr>
        <w:t>- :</w:t>
      </w:r>
      <w:proofErr w:type="gramEnd"/>
      <w:r w:rsidRPr="00ED1334">
        <w:rPr>
          <w:rFonts w:ascii="Rockwell" w:hAnsi="Rockwell"/>
        </w:rPr>
        <w:t xml:space="preserve"> </w:t>
      </w:r>
      <w:proofErr w:type="spellStart"/>
      <w:r w:rsidRPr="00ED1334">
        <w:rPr>
          <w:rFonts w:ascii="Rockwell" w:hAnsi="Rockwell"/>
        </w:rPr>
        <w:t>Loadcell</w:t>
      </w:r>
      <w:proofErr w:type="spellEnd"/>
      <w:r w:rsidRPr="00ED1334">
        <w:rPr>
          <w:rFonts w:ascii="Rockwell" w:hAnsi="Rockwell"/>
        </w:rPr>
        <w:t xml:space="preserve"> Negative Output       </w:t>
      </w:r>
      <w:r w:rsidR="00C90EAD">
        <w:rPr>
          <w:rFonts w:ascii="Rockwell" w:hAnsi="Rockwell"/>
        </w:rPr>
        <w:tab/>
      </w:r>
      <w:r w:rsidR="00C90EAD">
        <w:rPr>
          <w:rFonts w:ascii="Rockwell" w:hAnsi="Rockwell"/>
        </w:rPr>
        <w:tab/>
      </w:r>
      <w:r w:rsidR="00C90EAD" w:rsidRPr="00ED1334">
        <w:rPr>
          <w:rFonts w:ascii="Rockwell" w:hAnsi="Rockwell"/>
        </w:rPr>
        <w:t xml:space="preserve">+V: Positive (+12V) voltage for </w:t>
      </w:r>
      <w:r w:rsidR="00C90EAD">
        <w:rPr>
          <w:rFonts w:ascii="Rockwell" w:hAnsi="Rockwell"/>
        </w:rPr>
        <w:t>Extensometer</w:t>
      </w:r>
    </w:p>
    <w:p w14:paraId="43AB043B" w14:textId="7594A3A7" w:rsidR="00093DF1" w:rsidRPr="00ED1334" w:rsidRDefault="00093DF1" w:rsidP="00093DF1">
      <w:pPr>
        <w:pStyle w:val="NoSpacing"/>
        <w:jc w:val="both"/>
        <w:rPr>
          <w:rFonts w:ascii="Rockwell" w:hAnsi="Rockwell"/>
        </w:rPr>
      </w:pPr>
      <w:r w:rsidRPr="00ED1334">
        <w:rPr>
          <w:rFonts w:ascii="Rockwell" w:hAnsi="Rockwell"/>
        </w:rPr>
        <w:t>Ex</w:t>
      </w:r>
      <w:proofErr w:type="gramStart"/>
      <w:r w:rsidRPr="00ED1334">
        <w:rPr>
          <w:rFonts w:ascii="Rockwell" w:hAnsi="Rockwell"/>
        </w:rPr>
        <w:t>+ :</w:t>
      </w:r>
      <w:proofErr w:type="gramEnd"/>
      <w:r w:rsidRPr="00ED1334">
        <w:rPr>
          <w:rFonts w:ascii="Rockwell" w:hAnsi="Rockwell"/>
        </w:rPr>
        <w:t xml:space="preserve"> </w:t>
      </w:r>
      <w:proofErr w:type="spellStart"/>
      <w:r w:rsidRPr="00ED1334">
        <w:rPr>
          <w:rFonts w:ascii="Rockwell" w:hAnsi="Rockwell"/>
        </w:rPr>
        <w:t>Loadcell</w:t>
      </w:r>
      <w:proofErr w:type="spellEnd"/>
      <w:r w:rsidRPr="00ED1334">
        <w:rPr>
          <w:rFonts w:ascii="Rockwell" w:hAnsi="Rockwell"/>
        </w:rPr>
        <w:t xml:space="preserve"> Negative Excitation    </w:t>
      </w:r>
      <w:r w:rsidRPr="00ED1334">
        <w:rPr>
          <w:rFonts w:ascii="Rockwell" w:hAnsi="Rockwell"/>
        </w:rPr>
        <w:tab/>
      </w:r>
    </w:p>
    <w:p w14:paraId="7E09186E" w14:textId="62573879" w:rsidR="00093DF1" w:rsidRPr="00ED1334" w:rsidRDefault="00093DF1" w:rsidP="00093DF1">
      <w:pPr>
        <w:pStyle w:val="NoSpacing"/>
        <w:jc w:val="both"/>
        <w:rPr>
          <w:rFonts w:ascii="Rockwell" w:hAnsi="Rockwell"/>
        </w:rPr>
      </w:pPr>
      <w:r w:rsidRPr="00ED1334">
        <w:rPr>
          <w:rFonts w:ascii="Rockwell" w:hAnsi="Rockwell"/>
        </w:rPr>
        <w:tab/>
      </w:r>
      <w:r w:rsidRPr="00ED1334">
        <w:rPr>
          <w:rFonts w:ascii="Rockwell" w:hAnsi="Rockwell"/>
        </w:rPr>
        <w:tab/>
      </w:r>
      <w:r w:rsidRPr="00ED1334">
        <w:rPr>
          <w:rFonts w:ascii="Rockwell" w:hAnsi="Rockwell"/>
        </w:rPr>
        <w:tab/>
      </w:r>
      <w:r w:rsidRPr="00ED1334">
        <w:rPr>
          <w:rFonts w:ascii="Rockwell" w:hAnsi="Rockwell"/>
        </w:rPr>
        <w:tab/>
      </w:r>
      <w:r w:rsidRPr="00ED1334">
        <w:rPr>
          <w:rFonts w:ascii="Rockwell" w:hAnsi="Rockwell"/>
        </w:rPr>
        <w:tab/>
      </w:r>
      <w:r w:rsidR="00ED1334" w:rsidRPr="00ED1334">
        <w:rPr>
          <w:rFonts w:ascii="Rockwell" w:hAnsi="Rockwell"/>
        </w:rPr>
        <w:tab/>
      </w:r>
    </w:p>
    <w:p w14:paraId="68FDE48E" w14:textId="3CE24878" w:rsidR="00093DF1" w:rsidRPr="00ED1334" w:rsidRDefault="00093DF1" w:rsidP="00093DF1">
      <w:pPr>
        <w:pStyle w:val="NoSpacing"/>
        <w:jc w:val="both"/>
        <w:rPr>
          <w:rFonts w:ascii="Rockwell" w:hAnsi="Rockwell"/>
        </w:rPr>
      </w:pPr>
      <w:r w:rsidRPr="00ED1334">
        <w:rPr>
          <w:rFonts w:ascii="Rockwell" w:hAnsi="Rockwell"/>
        </w:rPr>
        <w:tab/>
      </w:r>
      <w:r w:rsidRPr="00ED1334">
        <w:rPr>
          <w:rFonts w:ascii="Rockwell" w:hAnsi="Rockwell"/>
        </w:rPr>
        <w:tab/>
      </w:r>
      <w:r w:rsidRPr="00ED1334">
        <w:rPr>
          <w:rFonts w:ascii="Rockwell" w:hAnsi="Rockwell"/>
        </w:rPr>
        <w:tab/>
      </w:r>
      <w:r w:rsidRPr="00ED1334">
        <w:rPr>
          <w:rFonts w:ascii="Rockwell" w:hAnsi="Rockwell"/>
        </w:rPr>
        <w:tab/>
      </w:r>
      <w:r w:rsidRPr="00ED1334">
        <w:rPr>
          <w:rFonts w:ascii="Rockwell" w:hAnsi="Rockwell"/>
        </w:rPr>
        <w:tab/>
      </w:r>
      <w:r w:rsidR="00ED1334" w:rsidRPr="00ED1334">
        <w:rPr>
          <w:rFonts w:ascii="Rockwell" w:hAnsi="Rockwell"/>
        </w:rPr>
        <w:tab/>
      </w:r>
      <w:r w:rsidRPr="00ED1334">
        <w:rPr>
          <w:rFonts w:ascii="Rockwell" w:hAnsi="Rockwell"/>
        </w:rPr>
        <w:tab/>
        <w:t xml:space="preserve"> </w:t>
      </w:r>
    </w:p>
    <w:p w14:paraId="6F4566F5" w14:textId="5E33B884" w:rsidR="00093DF1" w:rsidRPr="00ED1334" w:rsidRDefault="00093DF1" w:rsidP="00093DF1">
      <w:pPr>
        <w:pStyle w:val="NoSpacing"/>
        <w:jc w:val="both"/>
        <w:rPr>
          <w:rFonts w:ascii="Rockwell" w:hAnsi="Rockwell"/>
        </w:rPr>
      </w:pPr>
      <w:r w:rsidRPr="00ED1334">
        <w:rPr>
          <w:rFonts w:ascii="Rockwell" w:hAnsi="Rockwell"/>
        </w:rPr>
        <w:tab/>
      </w:r>
      <w:r w:rsidRPr="00ED1334">
        <w:rPr>
          <w:rFonts w:ascii="Rockwell" w:hAnsi="Rockwell"/>
        </w:rPr>
        <w:tab/>
      </w:r>
      <w:r w:rsidRPr="00ED1334">
        <w:rPr>
          <w:rFonts w:ascii="Rockwell" w:hAnsi="Rockwell"/>
        </w:rPr>
        <w:tab/>
      </w:r>
      <w:r w:rsidRPr="00ED1334">
        <w:rPr>
          <w:rFonts w:ascii="Rockwell" w:hAnsi="Rockwell"/>
        </w:rPr>
        <w:tab/>
      </w:r>
      <w:r w:rsidRPr="00ED1334">
        <w:rPr>
          <w:rFonts w:ascii="Rockwell" w:hAnsi="Rockwell"/>
        </w:rPr>
        <w:tab/>
      </w:r>
    </w:p>
    <w:p w14:paraId="52F72A85" w14:textId="5117E495" w:rsidR="00ED1334" w:rsidRPr="00ED1334" w:rsidRDefault="00ED1334" w:rsidP="00093DF1">
      <w:pPr>
        <w:pStyle w:val="NoSpacing"/>
        <w:jc w:val="both"/>
        <w:rPr>
          <w:rFonts w:ascii="Rockwell" w:hAnsi="Rockwell"/>
        </w:rPr>
      </w:pPr>
      <w:r w:rsidRPr="00ED1334">
        <w:rPr>
          <w:rFonts w:ascii="Rockwell" w:hAnsi="Rockwell"/>
        </w:rPr>
        <w:tab/>
      </w:r>
      <w:r w:rsidRPr="00ED1334">
        <w:rPr>
          <w:rFonts w:ascii="Rockwell" w:hAnsi="Rockwell"/>
        </w:rPr>
        <w:tab/>
      </w:r>
      <w:r w:rsidRPr="00ED1334">
        <w:rPr>
          <w:rFonts w:ascii="Rockwell" w:hAnsi="Rockwell"/>
        </w:rPr>
        <w:tab/>
      </w:r>
      <w:r w:rsidRPr="00ED1334">
        <w:rPr>
          <w:rFonts w:ascii="Rockwell" w:hAnsi="Rockwell"/>
        </w:rPr>
        <w:tab/>
      </w:r>
      <w:r w:rsidRPr="00ED1334">
        <w:rPr>
          <w:rFonts w:ascii="Rockwell" w:hAnsi="Rockwell"/>
        </w:rPr>
        <w:tab/>
      </w:r>
    </w:p>
    <w:sectPr w:rsidR="00ED1334" w:rsidRPr="00ED1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67"/>
    <w:rsid w:val="00093DF1"/>
    <w:rsid w:val="00862367"/>
    <w:rsid w:val="008D749C"/>
    <w:rsid w:val="00914A10"/>
    <w:rsid w:val="00B66E4E"/>
    <w:rsid w:val="00C90EAD"/>
    <w:rsid w:val="00ED1334"/>
    <w:rsid w:val="00ED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0BCA"/>
  <w15:chartTrackingRefBased/>
  <w15:docId w15:val="{FFA282D9-4DCD-45AE-887E-F7C89515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367"/>
    <w:pPr>
      <w:spacing w:after="0" w:line="240" w:lineRule="auto"/>
    </w:pPr>
  </w:style>
  <w:style w:type="table" w:styleId="TableGrid">
    <w:name w:val="Table Grid"/>
    <w:basedOn w:val="TableNormal"/>
    <w:uiPriority w:val="39"/>
    <w:rsid w:val="0086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86ADD-AFBA-4D45-81B3-AD18966A0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Ombase</dc:creator>
  <cp:keywords/>
  <dc:description/>
  <cp:lastModifiedBy>SANJAY MANE</cp:lastModifiedBy>
  <cp:revision>4</cp:revision>
  <dcterms:created xsi:type="dcterms:W3CDTF">2021-10-29T12:46:00Z</dcterms:created>
  <dcterms:modified xsi:type="dcterms:W3CDTF">2022-11-17T08:44:00Z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92fd908a441d8f8467e72cdccdcfd7979ff154e0385783d59711a3d62eca067b</vt:lpwstr>
  </property>
</Properties>
</file>