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5990AFD9" w:rsidR="00854FB1" w:rsidRDefault="00E52058">
            <w:pPr>
              <w:rPr>
                <w:rFonts w:ascii="Arial" w:eastAsia="Arial" w:hAnsi="Arial" w:cs="Arial"/>
              </w:rPr>
            </w:pPr>
            <w:r>
              <w:rPr>
                <w:rFonts w:ascii="Arial" w:eastAsia="Arial" w:hAnsi="Arial" w:cs="Arial"/>
              </w:rPr>
              <w:t>6</w:t>
            </w:r>
            <w:r w:rsidR="00987842">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697527FD" w:rsidR="00854FB1" w:rsidRDefault="00420A7E">
            <w:pPr>
              <w:rPr>
                <w:rFonts w:ascii="Arial" w:eastAsia="Arial" w:hAnsi="Arial" w:cs="Arial"/>
              </w:rPr>
            </w:pPr>
            <w:r w:rsidRPr="00420A7E">
              <w:rPr>
                <w:rFonts w:ascii="Arial" w:eastAsia="Arial" w:hAnsi="Arial" w:cs="Arial"/>
              </w:rPr>
              <w:t>SWTID1741244723154018</w:t>
            </w:r>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0FAF841D" w:rsidR="00854FB1" w:rsidRDefault="00420A7E">
            <w:pPr>
              <w:rPr>
                <w:rFonts w:ascii="Arial" w:eastAsia="Arial" w:hAnsi="Arial" w:cs="Arial"/>
              </w:rPr>
            </w:pPr>
            <w:r>
              <w:rPr>
                <w:rFonts w:ascii="Arial" w:eastAsia="Arial" w:hAnsi="Arial" w:cs="Arial"/>
              </w:rPr>
              <w:t>cryptoverse</w:t>
            </w:r>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420A7E"/>
    <w:rsid w:val="00557FAA"/>
    <w:rsid w:val="00854FB1"/>
    <w:rsid w:val="00912425"/>
    <w:rsid w:val="009249EA"/>
    <w:rsid w:val="00950541"/>
    <w:rsid w:val="00987842"/>
    <w:rsid w:val="00A07514"/>
    <w:rsid w:val="00A3556F"/>
    <w:rsid w:val="00AF46C2"/>
    <w:rsid w:val="00C77C04"/>
    <w:rsid w:val="00CF2160"/>
    <w:rsid w:val="00E13E8F"/>
    <w:rsid w:val="00E52058"/>
    <w:rsid w:val="00E54092"/>
    <w:rsid w:val="00E57A83"/>
    <w:rsid w:val="00E619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2</Pages>
  <Words>168</Words>
  <Characters>961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Sanjay B</cp:lastModifiedBy>
  <cp:revision>22</cp:revision>
  <dcterms:created xsi:type="dcterms:W3CDTF">2022-09-18T16:51:00Z</dcterms:created>
  <dcterms:modified xsi:type="dcterms:W3CDTF">2025-03-13T07:36:00Z</dcterms:modified>
</cp:coreProperties>
</file>