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160"/>
        <w:jc w:val="center"/>
      </w:pPr>
      <w:r>
        <w:rPr>
          <w:b/>
          <w:bCs/>
          <w:sz w:val="44"/>
          <w:szCs w:val="44"/>
        </w:rPr>
        <w:t xml:space="preserve">Independent Architecture Audit Report</w:t>
      </w:r>
    </w:p>
    <w:p>
      <w:pPr>
        <w:spacing w:after="500"/>
        <w:jc w:val="center"/>
      </w:pPr>
      <w:r>
        <w:rPr>
          <w:color w:val="444444"/>
          <w:sz w:val="28"/>
          <w:szCs w:val="28"/>
        </w:rPr>
        <w:t xml:space="preserve">Private Real Estate Development ERP</w:t>
      </w:r>
    </w:p>
    <w:p>
      <w:pPr>
        <w:spacing w:after="100"/>
        <w:jc w:val="center"/>
      </w:pPr>
      <w:r>
        <w:rPr>
          <w:b/>
          <w:bCs/>
          <w:sz w:val="22"/>
          <w:szCs w:val="22"/>
        </w:rPr>
        <w:t xml:space="preserve">Confidentiality: Strictly Confidential</w:t>
      </w:r>
    </w:p>
    <w:p>
      <w:pPr>
        <w:spacing w:after="100"/>
        <w:jc w:val="center"/>
      </w:pPr>
      <w:r>
        <w:rPr>
          <w:sz w:val="20"/>
          <w:szCs w:val="20"/>
        </w:rPr>
        <w:t xml:space="preserve">Auditor role: Independent principal software architect, enterprise solutions consultant, cybersecurity reviewer, ERP domain specialist, AI systems reviewer</w:t>
      </w:r>
    </w:p>
    <w:p>
      <w:pPr>
        <w:spacing w:after="100"/>
        <w:jc w:val="center"/>
      </w:pPr>
      <w:r>
        <w:rPr>
          <w:sz w:val="20"/>
          <w:szCs w:val="20"/>
        </w:rPr>
        <w:t xml:space="preserve">Subject: Technical Blueprint produced July 20, 2026 (Conversation Transcript, Entries 1–4)</w:t>
      </w:r>
    </w:p>
    <w:p>
      <w:pPr>
        <w:spacing w:after="100"/>
        <w:jc w:val="center"/>
      </w:pPr>
      <w:r>
        <w:rPr>
          <w:sz w:val="20"/>
          <w:szCs w:val="20"/>
        </w:rPr>
        <w:t xml:space="preserve">Date of audit: August 16, 2026</w:t>
      </w:r>
    </w:p>
    <w:p>
      <w:pPr>
        <w:spacing w:after="900"/>
        <w:jc w:val="center"/>
      </w:pPr>
      <w:r>
        <w:rPr>
          <w:sz w:val="20"/>
          <w:szCs w:val="20"/>
        </w:rPr>
        <w:t xml:space="preserve">Basis: Audit conducted per the client-supplied audit prompt (“Independent Architecture Audit Prompt for the Real Estate ERP Project”)</w:t>
      </w:r>
    </w:p>
    <w:p>
      <w:r>
        <w:br w:type="page"/>
      </w:r>
    </w:p>
    <w:p>
      <w:pPr>
        <w:pStyle w:val="Heading1"/>
        <w:spacing w:after="160" w:before="340"/>
      </w:pPr>
      <w:r>
        <w:t xml:space="preserve">1. Executive Summary</w:t>
      </w:r>
    </w:p>
    <w:p>
      <w:pPr>
        <w:spacing w:after="160"/>
      </w:pPr>
      <w:r>
        <w:rPr>
          <w:b w:val="false"/>
          <w:bCs w:val="false"/>
          <w:i w:val="false"/>
          <w:iCs w:val="false"/>
        </w:rPr>
        <w:t xml:space="preserve">The blueprint under review is an unusually disciplined first pass at a private real estate ERP. Its strongest asset is governance: legal-entity separation, an approval-gated workflow engine, a four-level AI authority ladder that keeps AI out of execution, and Tally retained as the statutory book of record. These are the right instincts for a business whose failures are financial and legal, not just technical.</w:t>
      </w:r>
    </w:p>
    <w:p>
      <w:pPr>
        <w:spacing w:after="160"/>
      </w:pPr>
      <w:r>
        <w:rPr>
          <w:b w:val="false"/>
          <w:bCs w:val="false"/>
          <w:i w:val="false"/>
          <w:iCs w:val="false"/>
        </w:rPr>
        <w:t xml:space="preserve">As an independent audit, however, the job is to find what the design has not yet confronted. Five gaps stand out as material: there is no disaster-recovery topology beyond a single on-premise server and a NAS; there is no key-management strategy for the encryption the blueprint assumes; the AI subsystem's hosting model is undefined, which creates a real risk of contradicting the "private by default" principle if a third-party API is used without a zero-retention agreement; several compliance-adjacent modules (vendor KYC, labour compliance, insurance tracking, e-signature) are absent even though the business explicitly operates under RERA and multi-entity structures; and the plan has no testing, CI/CD, or staging strategy, which will generate technical debt quickly once modules begin interacting from Phase 4 onward.</w:t>
      </w:r>
    </w:p>
    <w:p>
      <w:pPr>
        <w:spacing w:after="160"/>
      </w:pPr>
      <w:r>
        <w:rPr>
          <w:b w:val="false"/>
          <w:bCs w:val="false"/>
          <w:i w:val="false"/>
          <w:iCs w:val="false"/>
        </w:rPr>
        <w:t xml:space="preserve">None of these are fatal. All are addressable inside the modular-monolith approach the blueprint already commits to. The recommendation is to treat them as unfinished Phase 0 work, not as Phase 5+ afterthoughts — retrofitting security and resilience infrastructure after financial data is live is materially riskier than deciding it up front.</w:t>
      </w:r>
    </w:p>
    <w:p>
      <w:pPr>
        <w:pStyle w:val="Heading1"/>
        <w:spacing w:after="160" w:before="340"/>
      </w:pPr>
      <w:r>
        <w:t xml:space="preserve">2. Scorecard</w:t>
      </w:r>
    </w:p>
    <w:p>
      <w:pPr>
        <w:spacing w:after="140"/>
      </w:pPr>
      <w:r>
        <w:rPr>
          <w:b/>
          <w:bCs/>
        </w:rPr>
        <w:t xml:space="preserve">Overall Architecture Score: </w:t>
      </w:r>
      <w:r>
        <w:rPr>
          <w:b/>
          <w:bCs/>
          <w:color w:val="B00000"/>
        </w:rPr>
        <w:t xml:space="preserve">7/10</w:t>
      </w:r>
      <w:r>
        <w:t xml:space="preserve">  —  Modular monolith is the right call for a single-team, single-region build with clear domain boundaries; weakened by the absence of an API-contract, event, and environment strategy.</w:t>
      </w:r>
    </w:p>
    <w:p>
      <w:pPr>
        <w:spacing w:after="140"/>
      </w:pPr>
      <w:r>
        <w:rPr>
          <w:b/>
          <w:bCs/>
        </w:rPr>
        <w:t xml:space="preserve">Security Score: </w:t>
      </w:r>
      <w:r>
        <w:rPr>
          <w:b/>
          <w:bCs/>
          <w:color w:val="B00000"/>
        </w:rPr>
        <w:t xml:space="preserve">6/10</w:t>
      </w:r>
      <w:r>
        <w:t xml:space="preserve">  —  Strong identity design (passkeys, device binding, step-up auth); no key management, WAF/rate limiting, incident-response plan, or concrete anti-screenshot mechanism.</w:t>
      </w:r>
    </w:p>
    <w:p>
      <w:pPr>
        <w:spacing w:after="140"/>
      </w:pPr>
      <w:r>
        <w:rPr>
          <w:b/>
          <w:bCs/>
        </w:rPr>
        <w:t xml:space="preserve">ERP Completeness Score: </w:t>
      </w:r>
      <w:r>
        <w:rPr>
          <w:b/>
          <w:bCs/>
          <w:color w:val="B00000"/>
        </w:rPr>
        <w:t xml:space="preserve">7/10</w:t>
      </w:r>
      <w:r>
        <w:t xml:space="preserve">  —  Deep, realistic coverage of construction, QA/QC, and document control; missing vendor KYC, labour compliance, insurance, RFI/NCR, and e-signature.</w:t>
      </w:r>
    </w:p>
    <w:p>
      <w:pPr>
        <w:spacing w:after="140"/>
      </w:pPr>
      <w:r>
        <w:rPr>
          <w:b/>
          <w:bCs/>
        </w:rPr>
        <w:t xml:space="preserve">AI Readiness Score: </w:t>
      </w:r>
      <w:r>
        <w:rPr>
          <w:b/>
          <w:bCs/>
          <w:color w:val="B00000"/>
        </w:rPr>
        <w:t xml:space="preserve">6/10</w:t>
      </w:r>
      <w:r>
        <w:t xml:space="preserve">  —  The four-level authority model is genuinely above-average governance design; undermined by an undefined model-hosting decision and no prompt-injection or hallucination controls.</w:t>
      </w:r>
    </w:p>
    <w:p>
      <w:pPr>
        <w:spacing w:after="140"/>
      </w:pPr>
      <w:r>
        <w:rPr>
          <w:b/>
          <w:bCs/>
        </w:rPr>
        <w:t xml:space="preserve">Scalability Score: </w:t>
      </w:r>
      <w:r>
        <w:rPr>
          <w:b/>
          <w:bCs/>
          <w:color w:val="B00000"/>
        </w:rPr>
        <w:t xml:space="preserve">6/10</w:t>
      </w:r>
      <w:r>
        <w:t xml:space="preserve">  —  Adequate for one business group today; single-server topology, no read replicas or event/queue layer, and no stated path to multi-city operation.</w:t>
      </w:r>
    </w:p>
    <w:p>
      <w:pPr>
        <w:spacing w:after="140"/>
      </w:pPr>
      <w:r>
        <w:rPr>
          <w:b/>
          <w:bCs/>
        </w:rPr>
        <w:t xml:space="preserve">Maintainability Score: </w:t>
      </w:r>
      <w:r>
        <w:rPr>
          <w:b/>
          <w:bCs/>
          <w:color w:val="B00000"/>
        </w:rPr>
        <w:t xml:space="preserve">6/10</w:t>
      </w:r>
      <w:r>
        <w:t xml:space="preserve">  —  Domain boundaries are clean, but no testing, CI/CD, staging, or internal API-contract discipline is defined for an 11-phase, multi-year build.</w:t>
      </w:r>
    </w:p>
    <w:p>
      <w:pPr>
        <w:pStyle w:val="Heading1"/>
        <w:spacing w:after="160" w:before="340"/>
      </w:pPr>
      <w:r>
        <w:t xml:space="preserve">8. Business Process Coverage</w:t>
      </w:r>
    </w:p>
    <w:p>
      <w:pPr>
        <w:spacing w:after="160"/>
      </w:pPr>
      <w:r>
        <w:rPr>
          <w:b w:val="false"/>
          <w:bCs w:val="false"/>
          <w:i w:val="false"/>
          <w:iCs w:val="false"/>
        </w:rPr>
        <w:t xml:space="preserve">Coverage assessed against the process list specified in the audit brief, mapped to the blueprint's stated domains, entities, and phases.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820"/>
      </w:tblGrid>
      <w:tr>
        <w:tc>
          <w:tcPr>
            <w:tcW w:type="dxa" w:w="3200"/>
            <w:shd w:fill="D9D9D9" w:val="clear"/>
          </w:tcPr>
          <w:p>
            <w:pPr>
              <w:spacing w:after="40"/>
            </w:pPr>
            <w:r>
              <w:rPr>
                <w:b/>
                <w:bCs/>
              </w:rPr>
              <w:t xml:space="preserve">Process</w:t>
            </w:r>
          </w:p>
        </w:tc>
        <w:tc>
          <w:tcPr>
            <w:tcW w:type="dxa" w:w="1700"/>
            <w:shd w:fill="D9D9D9" w:val="clear"/>
          </w:tcPr>
          <w:p>
            <w:pPr>
              <w:spacing w:after="40"/>
            </w:pPr>
            <w:r>
              <w:rPr>
                <w:b/>
                <w:bCs/>
              </w:rPr>
              <w:t xml:space="preserve">Coverage</w:t>
            </w:r>
          </w:p>
        </w:tc>
        <w:tc>
          <w:tcPr>
            <w:tcW w:type="dxa" w:w="4820"/>
            <w:shd w:fill="D9D9D9" w:val="clear"/>
          </w:tcPr>
          <w:p>
            <w:pPr>
              <w:spacing w:after="40"/>
            </w:pPr>
            <w:r>
              <w:rPr>
                <w:b/>
                <w:bCs/>
              </w:rPr>
              <w:t xml:space="preserve">Notes</w:t>
            </w:r>
          </w:p>
        </w:tc>
      </w:tr>
      <w:tr>
        <w:tc>
          <w:tcPr>
            <w:tcW w:type="dxa" w:w="3200"/>
          </w:tcPr>
          <w:p>
            <w:pPr>
              <w:spacing w:after="40"/>
            </w:pPr>
            <w:r>
              <w:rPr>
                <w:b w:val="false"/>
                <w:bCs w:val="false"/>
              </w:rPr>
              <w:t xml:space="preserve">Procurement</w:t>
            </w:r>
          </w:p>
        </w:tc>
        <w:tc>
          <w:tcPr>
            <w:tcW w:type="dxa" w:w="1700"/>
          </w:tcPr>
          <w:p>
            <w:pPr>
              <w:spacing w:after="40"/>
            </w:pPr>
            <w:r>
              <w:rPr>
                <w:b w:val="false"/>
                <w:bCs w:val="false"/>
              </w:rPr>
              <w:t xml:space="preserve">Covered</w:t>
            </w:r>
          </w:p>
        </w:tc>
        <w:tc>
          <w:tcPr>
            <w:tcW w:type="dxa" w:w="4820"/>
          </w:tcPr>
          <w:p>
            <w:pPr>
              <w:spacing w:after="40"/>
            </w:pPr>
            <w:r>
              <w:rPr>
                <w:b w:val="false"/>
                <w:bCs w:val="false"/>
              </w:rPr>
              <w:t xml:space="preserve">Procurement domain, PurchaseOrder entity, Phase 4.</w:t>
            </w:r>
          </w:p>
        </w:tc>
      </w:tr>
      <w:tr>
        <w:tc>
          <w:tcPr>
            <w:tcW w:type="dxa" w:w="3200"/>
          </w:tcPr>
          <w:p>
            <w:pPr>
              <w:spacing w:after="40"/>
            </w:pPr>
            <w:r>
              <w:rPr>
                <w:b w:val="false"/>
                <w:bCs w:val="false"/>
              </w:rPr>
              <w:t xml:space="preserve">Vendor onboarding</w:t>
            </w:r>
          </w:p>
        </w:tc>
        <w:tc>
          <w:tcPr>
            <w:tcW w:type="dxa" w:w="1700"/>
          </w:tcPr>
          <w:p>
            <w:pPr>
              <w:spacing w:after="40"/>
            </w:pPr>
            <w:r>
              <w:rPr>
                <w:b w:val="false"/>
                <w:bCs w:val="false"/>
              </w:rPr>
              <w:t xml:space="preserve">Missing</w:t>
            </w:r>
          </w:p>
        </w:tc>
        <w:tc>
          <w:tcPr>
            <w:tcW w:type="dxa" w:w="4820"/>
          </w:tcPr>
          <w:p>
            <w:pPr>
              <w:spacing w:after="40"/>
            </w:pPr>
            <w:r>
              <w:rPr>
                <w:b w:val="false"/>
                <w:bCs w:val="false"/>
              </w:rPr>
              <w:t xml:space="preserve">No KYC, bank verification, or compliance-document workflow specified.</w:t>
            </w:r>
          </w:p>
        </w:tc>
      </w:tr>
      <w:tr>
        <w:tc>
          <w:tcPr>
            <w:tcW w:type="dxa" w:w="3200"/>
          </w:tcPr>
          <w:p>
            <w:pPr>
              <w:spacing w:after="40"/>
            </w:pPr>
            <w:r>
              <w:rPr>
                <w:b w:val="false"/>
                <w:bCs w:val="false"/>
              </w:rPr>
              <w:t xml:space="preserve">Contractor billing / RA bills</w:t>
            </w:r>
          </w:p>
        </w:tc>
        <w:tc>
          <w:tcPr>
            <w:tcW w:type="dxa" w:w="1700"/>
          </w:tcPr>
          <w:p>
            <w:pPr>
              <w:spacing w:after="40"/>
            </w:pPr>
            <w:r>
              <w:rPr>
                <w:b w:val="false"/>
                <w:bCs w:val="false"/>
              </w:rPr>
              <w:t xml:space="preserve">Partial</w:t>
            </w:r>
          </w:p>
        </w:tc>
        <w:tc>
          <w:tcPr>
            <w:tcW w:type="dxa" w:w="4820"/>
          </w:tcPr>
          <w:p>
            <w:pPr>
              <w:spacing w:after="40"/>
            </w:pPr>
            <w:r>
              <w:rPr>
                <w:b w:val="false"/>
                <w:bCs w:val="false"/>
              </w:rPr>
              <w:t xml:space="preserve">Contract lifecycle and milestones exist; no running-account-bill measurement/certification workflow.</w:t>
            </w:r>
          </w:p>
        </w:tc>
      </w:tr>
      <w:tr>
        <w:tc>
          <w:tcPr>
            <w:tcW w:type="dxa" w:w="3200"/>
          </w:tcPr>
          <w:p>
            <w:pPr>
              <w:spacing w:after="40"/>
            </w:pPr>
            <w:r>
              <w:rPr>
                <w:b w:val="false"/>
                <w:bCs w:val="false"/>
              </w:rPr>
              <w:t xml:space="preserve">Purchase orders</w:t>
            </w:r>
          </w:p>
        </w:tc>
        <w:tc>
          <w:tcPr>
            <w:tcW w:type="dxa" w:w="1700"/>
          </w:tcPr>
          <w:p>
            <w:pPr>
              <w:spacing w:after="40"/>
            </w:pPr>
            <w:r>
              <w:rPr>
                <w:b w:val="false"/>
                <w:bCs w:val="false"/>
              </w:rPr>
              <w:t xml:space="preserve">Covered</w:t>
            </w:r>
          </w:p>
        </w:tc>
        <w:tc>
          <w:tcPr>
            <w:tcW w:type="dxa" w:w="4820"/>
          </w:tcPr>
          <w:p>
            <w:pPr>
              <w:spacing w:after="40"/>
            </w:pPr>
            <w:r>
              <w:rPr>
                <w:b w:val="false"/>
                <w:bCs w:val="false"/>
              </w:rPr>
              <w:t xml:space="preserve">PurchaseOrder entity, procurement module, Phase 4.</w:t>
            </w:r>
          </w:p>
        </w:tc>
      </w:tr>
      <w:tr>
        <w:tc>
          <w:tcPr>
            <w:tcW w:type="dxa" w:w="3200"/>
          </w:tcPr>
          <w:p>
            <w:pPr>
              <w:spacing w:after="40"/>
            </w:pPr>
            <w:r>
              <w:rPr>
                <w:b w:val="false"/>
                <w:bCs w:val="false"/>
              </w:rPr>
              <w:t xml:space="preserve">Material receipt</w:t>
            </w:r>
          </w:p>
        </w:tc>
        <w:tc>
          <w:tcPr>
            <w:tcW w:type="dxa" w:w="1700"/>
          </w:tcPr>
          <w:p>
            <w:pPr>
              <w:spacing w:after="40"/>
            </w:pPr>
            <w:r>
              <w:rPr>
                <w:b w:val="false"/>
                <w:bCs w:val="false"/>
              </w:rPr>
              <w:t xml:space="preserve">Covered</w:t>
            </w:r>
          </w:p>
        </w:tc>
        <w:tc>
          <w:tcPr>
            <w:tcW w:type="dxa" w:w="4820"/>
          </w:tcPr>
          <w:p>
            <w:pPr>
              <w:spacing w:after="40"/>
            </w:pPr>
            <w:r>
              <w:rPr>
                <w:b w:val="false"/>
                <w:bCs w:val="false"/>
              </w:rPr>
              <w:t xml:space="preserve">MaterialReceipt entity, inventory domain.</w:t>
            </w:r>
          </w:p>
        </w:tc>
      </w:tr>
      <w:tr>
        <w:tc>
          <w:tcPr>
            <w:tcW w:type="dxa" w:w="3200"/>
          </w:tcPr>
          <w:p>
            <w:pPr>
              <w:spacing w:after="40"/>
            </w:pPr>
            <w:r>
              <w:rPr>
                <w:b w:val="false"/>
                <w:bCs w:val="false"/>
              </w:rPr>
              <w:t xml:space="preserve">Site issue / consumption</w:t>
            </w:r>
          </w:p>
        </w:tc>
        <w:tc>
          <w:tcPr>
            <w:tcW w:type="dxa" w:w="1700"/>
          </w:tcPr>
          <w:p>
            <w:pPr>
              <w:spacing w:after="40"/>
            </w:pPr>
            <w:r>
              <w:rPr>
                <w:b w:val="false"/>
                <w:bCs w:val="false"/>
              </w:rPr>
              <w:t xml:space="preserve">Partial</w:t>
            </w:r>
          </w:p>
        </w:tc>
        <w:tc>
          <w:tcPr>
            <w:tcW w:type="dxa" w:w="4820"/>
          </w:tcPr>
          <w:p>
            <w:pPr>
              <w:spacing w:after="40"/>
            </w:pPr>
            <w:r>
              <w:rPr>
                <w:b w:val="false"/>
                <w:bCs w:val="false"/>
              </w:rPr>
              <w:t xml:space="preserve">Site Diary logs "materials consumed"; no formal issue-to-site workflow or entity.</w:t>
            </w:r>
          </w:p>
        </w:tc>
      </w:tr>
      <w:tr>
        <w:tc>
          <w:tcPr>
            <w:tcW w:type="dxa" w:w="3200"/>
          </w:tcPr>
          <w:p>
            <w:pPr>
              <w:spacing w:after="40"/>
            </w:pPr>
            <w:r>
              <w:rPr>
                <w:b w:val="false"/>
                <w:bCs w:val="false"/>
              </w:rPr>
              <w:t xml:space="preserve">Payment approval</w:t>
            </w:r>
          </w:p>
        </w:tc>
        <w:tc>
          <w:tcPr>
            <w:tcW w:type="dxa" w:w="1700"/>
          </w:tcPr>
          <w:p>
            <w:pPr>
              <w:spacing w:after="40"/>
            </w:pPr>
            <w:r>
              <w:rPr>
                <w:b w:val="false"/>
                <w:bCs w:val="false"/>
              </w:rPr>
              <w:t xml:space="preserve">Covered</w:t>
            </w:r>
          </w:p>
        </w:tc>
        <w:tc>
          <w:tcPr>
            <w:tcW w:type="dxa" w:w="4820"/>
          </w:tcPr>
          <w:p>
            <w:pPr>
              <w:spacing w:after="40"/>
            </w:pPr>
            <w:r>
              <w:rPr>
                <w:b w:val="false"/>
                <w:bCs w:val="false"/>
              </w:rPr>
              <w:t xml:space="preserve">Workflow engine with monetary thresholds and quorum rules.</w:t>
            </w:r>
          </w:p>
        </w:tc>
      </w:tr>
      <w:tr>
        <w:tc>
          <w:tcPr>
            <w:tcW w:type="dxa" w:w="3200"/>
          </w:tcPr>
          <w:p>
            <w:pPr>
              <w:spacing w:after="40"/>
            </w:pPr>
            <w:r>
              <w:rPr>
                <w:b w:val="false"/>
                <w:bCs w:val="false"/>
              </w:rPr>
              <w:t xml:space="preserve">Customer booking</w:t>
            </w:r>
          </w:p>
        </w:tc>
        <w:tc>
          <w:tcPr>
            <w:tcW w:type="dxa" w:w="1700"/>
          </w:tcPr>
          <w:p>
            <w:pPr>
              <w:spacing w:after="40"/>
            </w:pPr>
            <w:r>
              <w:rPr>
                <w:b w:val="false"/>
                <w:bCs w:val="false"/>
              </w:rPr>
              <w:t xml:space="preserve">Covered</w:t>
            </w:r>
          </w:p>
        </w:tc>
        <w:tc>
          <w:tcPr>
            <w:tcW w:type="dxa" w:w="4820"/>
          </w:tcPr>
          <w:p>
            <w:pPr>
              <w:spacing w:after="40"/>
            </w:pPr>
            <w:r>
              <w:rPr>
                <w:b w:val="false"/>
                <w:bCs w:val="false"/>
              </w:rPr>
              <w:t xml:space="preserve">Booking entity, Phase 8.</w:t>
            </w:r>
          </w:p>
        </w:tc>
      </w:tr>
      <w:tr>
        <w:tc>
          <w:tcPr>
            <w:tcW w:type="dxa" w:w="3200"/>
          </w:tcPr>
          <w:p>
            <w:pPr>
              <w:spacing w:after="40"/>
            </w:pPr>
            <w:r>
              <w:rPr>
                <w:b w:val="false"/>
                <w:bCs w:val="false"/>
              </w:rPr>
              <w:t xml:space="preserve">Customer customization</w:t>
            </w:r>
          </w:p>
        </w:tc>
        <w:tc>
          <w:tcPr>
            <w:tcW w:type="dxa" w:w="1700"/>
          </w:tcPr>
          <w:p>
            <w:pPr>
              <w:spacing w:after="40"/>
            </w:pPr>
            <w:r>
              <w:rPr>
                <w:b w:val="false"/>
                <w:bCs w:val="false"/>
              </w:rPr>
              <w:t xml:space="preserve">Missing</w:t>
            </w:r>
          </w:p>
        </w:tc>
        <w:tc>
          <w:tcPr>
            <w:tcW w:type="dxa" w:w="4820"/>
          </w:tcPr>
          <w:p>
            <w:pPr>
              <w:spacing w:after="40"/>
            </w:pPr>
            <w:r>
              <w:rPr>
                <w:b w:val="false"/>
                <w:bCs w:val="false"/>
              </w:rPr>
              <w:t xml:space="preserve">Named in audit scope; absent from domain model and phases.</w:t>
            </w:r>
          </w:p>
        </w:tc>
      </w:tr>
      <w:tr>
        <w:tc>
          <w:tcPr>
            <w:tcW w:type="dxa" w:w="3200"/>
          </w:tcPr>
          <w:p>
            <w:pPr>
              <w:spacing w:after="40"/>
            </w:pPr>
            <w:r>
              <w:rPr>
                <w:b w:val="false"/>
                <w:bCs w:val="false"/>
              </w:rPr>
              <w:t xml:space="preserve">Variation orders</w:t>
            </w:r>
          </w:p>
        </w:tc>
        <w:tc>
          <w:tcPr>
            <w:tcW w:type="dxa" w:w="1700"/>
          </w:tcPr>
          <w:p>
            <w:pPr>
              <w:spacing w:after="40"/>
            </w:pPr>
            <w:r>
              <w:rPr>
                <w:b w:val="false"/>
                <w:bCs w:val="false"/>
              </w:rPr>
              <w:t xml:space="preserve">Covered</w:t>
            </w:r>
          </w:p>
        </w:tc>
        <w:tc>
          <w:tcPr>
            <w:tcW w:type="dxa" w:w="4820"/>
          </w:tcPr>
          <w:p>
            <w:pPr>
              <w:spacing w:after="40"/>
            </w:pPr>
            <w:r>
              <w:rPr>
                <w:b w:val="false"/>
                <w:bCs w:val="false"/>
              </w:rPr>
              <w:t xml:space="preserve">Full change workflow, Phase 7.</w:t>
            </w:r>
          </w:p>
        </w:tc>
      </w:tr>
      <w:tr>
        <w:tc>
          <w:tcPr>
            <w:tcW w:type="dxa" w:w="3200"/>
          </w:tcPr>
          <w:p>
            <w:pPr>
              <w:spacing w:after="40"/>
            </w:pPr>
            <w:r>
              <w:rPr>
                <w:b w:val="false"/>
                <w:bCs w:val="false"/>
              </w:rPr>
              <w:t xml:space="preserve">Final possession</w:t>
            </w:r>
          </w:p>
        </w:tc>
        <w:tc>
          <w:tcPr>
            <w:tcW w:type="dxa" w:w="1700"/>
          </w:tcPr>
          <w:p>
            <w:pPr>
              <w:spacing w:after="40"/>
            </w:pPr>
            <w:r>
              <w:rPr>
                <w:b w:val="false"/>
                <w:bCs w:val="false"/>
              </w:rPr>
              <w:t xml:space="preserve">Covered</w:t>
            </w:r>
          </w:p>
        </w:tc>
        <w:tc>
          <w:tcPr>
            <w:tcW w:type="dxa" w:w="4820"/>
          </w:tcPr>
          <w:p>
            <w:pPr>
              <w:spacing w:after="40"/>
            </w:pPr>
            <w:r>
              <w:rPr>
                <w:b w:val="false"/>
                <w:bCs w:val="false"/>
              </w:rPr>
              <w:t xml:space="preserve">Phase 8.</w:t>
            </w:r>
          </w:p>
        </w:tc>
      </w:tr>
      <w:tr>
        <w:tc>
          <w:tcPr>
            <w:tcW w:type="dxa" w:w="3200"/>
          </w:tcPr>
          <w:p>
            <w:pPr>
              <w:spacing w:after="40"/>
            </w:pPr>
            <w:r>
              <w:rPr>
                <w:b w:val="false"/>
                <w:bCs w:val="false"/>
              </w:rPr>
              <w:t xml:space="preserve">Legal approvals / govt. submissions</w:t>
            </w:r>
          </w:p>
        </w:tc>
        <w:tc>
          <w:tcPr>
            <w:tcW w:type="dxa" w:w="1700"/>
          </w:tcPr>
          <w:p>
            <w:pPr>
              <w:spacing w:after="40"/>
            </w:pPr>
            <w:r>
              <w:rPr>
                <w:b w:val="false"/>
                <w:bCs w:val="false"/>
              </w:rPr>
              <w:t xml:space="preserve">Partial</w:t>
            </w:r>
          </w:p>
        </w:tc>
        <w:tc>
          <w:tcPr>
            <w:tcW w:type="dxa" w:w="4820"/>
          </w:tcPr>
          <w:p>
            <w:pPr>
              <w:spacing w:after="40"/>
            </w:pPr>
            <w:r>
              <w:rPr>
                <w:b w:val="false"/>
                <w:bCs w:val="false"/>
              </w:rPr>
              <w:t xml:space="preserve">Compliance domain and Phase 3 cover JDA/RERA/loans; no e-filing or government-portal integration specified.</w:t>
            </w:r>
          </w:p>
        </w:tc>
      </w:tr>
    </w:tbl>
    <w:p>
      <w:pPr>
        <w:spacing w:after="200"/>
      </w:pPr>
    </w:p>
    <w:p>
      <w:pPr>
        <w:pStyle w:val="Heading1"/>
        <w:spacing w:after="160" w:before="340"/>
      </w:pPr>
      <w:r>
        <w:t xml:space="preserve">9. Missing Modules</w:t>
      </w:r>
    </w:p>
    <w:p>
      <w:pPr>
        <w:pStyle w:val="ListParagraph"/>
        <w:numPr>
          <w:ilvl w:val="0"/>
          <w:numId w:val="2"/>
        </w:numPr>
        <w:spacing w:after="60"/>
      </w:pPr>
      <w:r>
        <w:t xml:space="preserve">Vendor / contractor onboarding and KYC.</w:t>
      </w:r>
    </w:p>
    <w:p>
      <w:pPr>
        <w:pStyle w:val="ListParagraph"/>
        <w:numPr>
          <w:ilvl w:val="0"/>
          <w:numId w:val="2"/>
        </w:numPr>
        <w:spacing w:after="60"/>
      </w:pPr>
      <w:r>
        <w:t xml:space="preserve">Insurance and CAR (Contractor's All Risk) / professional-indemnity tracking.</w:t>
      </w:r>
    </w:p>
    <w:p>
      <w:pPr>
        <w:pStyle w:val="ListParagraph"/>
        <w:numPr>
          <w:ilvl w:val="0"/>
          <w:numId w:val="2"/>
        </w:numPr>
        <w:spacing w:after="60"/>
      </w:pPr>
      <w:r>
        <w:t xml:space="preserve">Labour compliance — PF, ESI, contract-labour licensing, minimum-wage records.</w:t>
      </w:r>
    </w:p>
    <w:p>
      <w:pPr>
        <w:pStyle w:val="ListParagraph"/>
        <w:numPr>
          <w:ilvl w:val="0"/>
          <w:numId w:val="2"/>
        </w:numPr>
        <w:spacing w:after="60"/>
      </w:pPr>
      <w:r>
        <w:t xml:space="preserve">RFI (Request for Information) and NCR (Non-Conformance Report) as first-class workflow objects, distinct from the generic "discrepancy case."</w:t>
      </w:r>
    </w:p>
    <w:p>
      <w:pPr>
        <w:pStyle w:val="ListParagraph"/>
        <w:numPr>
          <w:ilvl w:val="0"/>
          <w:numId w:val="2"/>
        </w:numPr>
        <w:spacing w:after="60"/>
      </w:pPr>
      <w:r>
        <w:t xml:space="preserve">E-signature / contract execution mechanism (contracts reach "Approved" but the blueprint does not specify how they are legally executed).</w:t>
      </w:r>
    </w:p>
    <w:p>
      <w:pPr>
        <w:pStyle w:val="ListParagraph"/>
        <w:numPr>
          <w:ilvl w:val="0"/>
          <w:numId w:val="2"/>
        </w:numPr>
        <w:spacing w:after="60"/>
      </w:pPr>
      <w:r>
        <w:t xml:space="preserve">CRM lead funnel and broker / channel-partner commission tracking (CRM is named as "integration" only, with no build-vs-integrate decision).</w:t>
      </w:r>
    </w:p>
    <w:p>
      <w:pPr>
        <w:pStyle w:val="ListParagraph"/>
        <w:numPr>
          <w:ilvl w:val="0"/>
          <w:numId w:val="2"/>
        </w:numPr>
        <w:spacing w:after="60"/>
      </w:pPr>
      <w:r>
        <w:t xml:space="preserve">EHS (environment, health, safety) incident management beyond a line item in the Site Diary.</w:t>
      </w:r>
    </w:p>
    <w:p>
      <w:pPr>
        <w:pStyle w:val="ListParagraph"/>
        <w:numPr>
          <w:ilvl w:val="0"/>
          <w:numId w:val="2"/>
        </w:numPr>
        <w:spacing w:after="60"/>
      </w:pPr>
      <w:r>
        <w:t xml:space="preserve">Notification / event engine — no pub-sub or message layer is named anywhere in the service architecture.</w:t>
      </w:r>
    </w:p>
    <w:p>
      <w:pPr>
        <w:pStyle w:val="ListParagraph"/>
        <w:numPr>
          <w:ilvl w:val="0"/>
          <w:numId w:val="2"/>
        </w:numPr>
        <w:spacing w:after="60"/>
      </w:pPr>
      <w:r>
        <w:t xml:space="preserve">Reporting / OLAP layer separate from the transactional Postgres store.</w:t>
      </w:r>
    </w:p>
    <w:p>
      <w:pPr>
        <w:pStyle w:val="Heading1"/>
        <w:spacing w:after="160" w:before="340"/>
      </w:pPr>
      <w:r>
        <w:t xml:space="preserve">10. Critical Risks</w:t>
      </w:r>
    </w:p>
    <w:p>
      <w:pPr>
        <w:pStyle w:val="ListParagraph"/>
        <w:numPr>
          <w:ilvl w:val="0"/>
          <w:numId w:val="2"/>
        </w:numPr>
        <w:spacing w:after="60"/>
      </w:pPr>
      <w:r>
        <w:t xml:space="preserve">Single on-premise server is a single point of failure for a system that will hold financial and legal records of record.</w:t>
      </w:r>
    </w:p>
    <w:p>
      <w:pPr>
        <w:pStyle w:val="ListParagraph"/>
        <w:numPr>
          <w:ilvl w:val="0"/>
          <w:numId w:val="2"/>
        </w:numPr>
        <w:spacing w:after="60"/>
      </w:pPr>
      <w:r>
        <w:t xml:space="preserve">No key-management (KMS/HSM) strategy for the encryption the blueprint assumes throughout.</w:t>
      </w:r>
    </w:p>
    <w:p>
      <w:pPr>
        <w:pStyle w:val="ListParagraph"/>
        <w:numPr>
          <w:ilvl w:val="0"/>
          <w:numId w:val="2"/>
        </w:numPr>
        <w:spacing w:after="60"/>
      </w:pPr>
      <w:r>
        <w:t xml:space="preserve">AI hosting model is undefined — using a third-party model API without a zero-retention agreement would contradict the "private by default" principle the whole platform is built on.</w:t>
      </w:r>
    </w:p>
    <w:p>
      <w:pPr>
        <w:pStyle w:val="ListParagraph"/>
        <w:numPr>
          <w:ilvl w:val="0"/>
          <w:numId w:val="2"/>
        </w:numPr>
        <w:spacing w:after="60"/>
      </w:pPr>
      <w:r>
        <w:t xml:space="preserve">The "owner console" implies a single administrator; no succession or availability plan if that person is unreachable.</w:t>
      </w:r>
    </w:p>
    <w:p>
      <w:pPr>
        <w:pStyle w:val="ListParagraph"/>
        <w:numPr>
          <w:ilvl w:val="0"/>
          <w:numId w:val="2"/>
        </w:numPr>
        <w:spacing w:after="60"/>
      </w:pPr>
      <w:r>
        <w:t xml:space="preserve">No RTO/RPO targets or recovery-testing cadence are defined despite "periodic recovery testing" being listed as a goal.</w:t>
      </w:r>
    </w:p>
    <w:p>
      <w:pPr>
        <w:pStyle w:val="Heading1"/>
        <w:spacing w:after="160" w:before="340"/>
      </w:pPr>
      <w:r>
        <w:t xml:space="preserve">11. High-Priority Improvements</w:t>
      </w:r>
    </w:p>
    <w:p>
      <w:pPr>
        <w:pStyle w:val="ListParagraph"/>
        <w:numPr>
          <w:ilvl w:val="0"/>
          <w:numId w:val="2"/>
        </w:numPr>
        <w:spacing w:after="60"/>
      </w:pPr>
      <w:r>
        <w:t xml:space="preserve">Define a DR topology with explicit RTO/RPO targets, geo-redundant backup, and a scheduled restore-test cadence.</w:t>
      </w:r>
    </w:p>
    <w:p>
      <w:pPr>
        <w:pStyle w:val="ListParagraph"/>
        <w:numPr>
          <w:ilvl w:val="0"/>
          <w:numId w:val="2"/>
        </w:numPr>
        <w:spacing w:after="60"/>
      </w:pPr>
      <w:r>
        <w:t xml:space="preserve">Add a key-management / secrets-management layer (KMS or HSM; Vault or a cloud-native equivalent for application secrets).</w:t>
      </w:r>
    </w:p>
    <w:p>
      <w:pPr>
        <w:pStyle w:val="ListParagraph"/>
        <w:numPr>
          <w:ilvl w:val="0"/>
          <w:numId w:val="2"/>
        </w:numPr>
        <w:spacing w:after="60"/>
      </w:pPr>
      <w:r>
        <w:t xml:space="preserve">Make an explicit AI hosting decision — self-hosted open-weight model, or a commercial API under an enterprise zero-retention DPA — before Phase 11 design proceeds.</w:t>
      </w:r>
    </w:p>
    <w:p>
      <w:pPr>
        <w:pStyle w:val="ListParagraph"/>
        <w:numPr>
          <w:ilvl w:val="0"/>
          <w:numId w:val="2"/>
        </w:numPr>
        <w:spacing w:after="60"/>
      </w:pPr>
      <w:r>
        <w:t xml:space="preserve">Add a vendor / contractor onboarding and KYC workflow ahead of Phase 4.</w:t>
      </w:r>
    </w:p>
    <w:p>
      <w:pPr>
        <w:pStyle w:val="ListParagraph"/>
        <w:numPr>
          <w:ilvl w:val="0"/>
          <w:numId w:val="2"/>
        </w:numPr>
        <w:spacing w:after="60"/>
      </w:pPr>
      <w:r>
        <w:t xml:space="preserve">Add an e-signature integration so contracts have a defined execution step between "Approved" and "Executed."</w:t>
      </w:r>
    </w:p>
    <w:p>
      <w:pPr>
        <w:pStyle w:val="Heading1"/>
        <w:spacing w:after="160" w:before="340"/>
      </w:pPr>
      <w:r>
        <w:t xml:space="preserve">12. Medium-Priority Improvements</w:t>
      </w:r>
    </w:p>
    <w:p>
      <w:pPr>
        <w:pStyle w:val="ListParagraph"/>
        <w:numPr>
          <w:ilvl w:val="0"/>
          <w:numId w:val="2"/>
        </w:numPr>
        <w:spacing w:after="60"/>
      </w:pPr>
      <w:r>
        <w:t xml:space="preserve">Promote RFI and NCR to first-class workflow objects rather than folding them into a generic discrepancy case.</w:t>
      </w:r>
    </w:p>
    <w:p>
      <w:pPr>
        <w:pStyle w:val="ListParagraph"/>
        <w:numPr>
          <w:ilvl w:val="0"/>
          <w:numId w:val="2"/>
        </w:numPr>
        <w:spacing w:after="60"/>
      </w:pPr>
      <w:r>
        <w:t xml:space="preserve">Introduce a lightweight event/notification layer (e.g. a message bus, or Postgres LISTEN/NOTIFY at current scale) to decouple modules that currently communicate only through shared tables.</w:t>
      </w:r>
    </w:p>
    <w:p>
      <w:pPr>
        <w:pStyle w:val="ListParagraph"/>
        <w:numPr>
          <w:ilvl w:val="0"/>
          <w:numId w:val="2"/>
        </w:numPr>
        <w:spacing w:after="60"/>
      </w:pPr>
      <w:r>
        <w:t xml:space="preserve">Add a reporting layer or read replica so CEO-dashboard and analytics queries do not compete with transactional writes.</w:t>
      </w:r>
    </w:p>
    <w:p>
      <w:pPr>
        <w:pStyle w:val="ListParagraph"/>
        <w:numPr>
          <w:ilvl w:val="0"/>
          <w:numId w:val="2"/>
        </w:numPr>
        <w:spacing w:after="60"/>
      </w:pPr>
      <w:r>
        <w:t xml:space="preserve">Establish CI/CD and a staging/UAT environment before Phase 1 implementation begins.</w:t>
      </w:r>
    </w:p>
    <w:p>
      <w:pPr>
        <w:pStyle w:val="ListParagraph"/>
        <w:numPr>
          <w:ilvl w:val="0"/>
          <w:numId w:val="2"/>
        </w:numPr>
        <w:spacing w:after="60"/>
      </w:pPr>
      <w:r>
        <w:t xml:space="preserve">Add insurance and labour-compliance tracking to the compliance domain.</w:t>
      </w:r>
    </w:p>
    <w:p>
      <w:pPr>
        <w:pStyle w:val="Heading1"/>
        <w:spacing w:after="160" w:before="340"/>
      </w:pPr>
      <w:r>
        <w:t xml:space="preserve">13. Low-Priority Improvements</w:t>
      </w:r>
    </w:p>
    <w:p>
      <w:pPr>
        <w:pStyle w:val="ListParagraph"/>
        <w:numPr>
          <w:ilvl w:val="0"/>
          <w:numId w:val="2"/>
        </w:numPr>
        <w:spacing w:after="60"/>
      </w:pPr>
      <w:r>
        <w:t xml:space="preserve">Multi-language support — not required while operations are India-only; defer.</w:t>
      </w:r>
    </w:p>
    <w:p>
      <w:pPr>
        <w:pStyle w:val="ListParagraph"/>
        <w:numPr>
          <w:ilvl w:val="0"/>
          <w:numId w:val="2"/>
        </w:numPr>
        <w:spacing w:after="60"/>
      </w:pPr>
      <w:r>
        <w:t xml:space="preserve">Multi-currency support — defer until international expansion is a live plan, not a hypothetical.</w:t>
      </w:r>
    </w:p>
    <w:p>
      <w:pPr>
        <w:pStyle w:val="ListParagraph"/>
        <w:numPr>
          <w:ilvl w:val="0"/>
          <w:numId w:val="2"/>
        </w:numPr>
        <w:spacing w:after="60"/>
      </w:pPr>
      <w:r>
        <w:t xml:space="preserve">IoT sensors, drone inspection, and computer-vision integrations — reasonable Phase 12+ candidates, not current-build scope.</w:t>
      </w:r>
    </w:p>
    <w:p>
      <w:pPr>
        <w:pStyle w:val="Heading1"/>
        <w:spacing w:after="160" w:before="340"/>
      </w:pPr>
      <w:r>
        <w:t xml:space="preserve">14. Technical Debt Assessment</w:t>
      </w:r>
    </w:p>
    <w:p>
      <w:pPr>
        <w:spacing w:after="160"/>
      </w:pPr>
      <w:r>
        <w:rPr>
          <w:b w:val="false"/>
          <w:bCs w:val="false"/>
          <w:i w:val="false"/>
          <w:iCs w:val="false"/>
        </w:rPr>
        <w:t xml:space="preserve">Technical debt is currently zero because nothing has been built, but the plan's silence on testing strategy, CI/CD, and internal module API contracts will generate debt quickly once Budget, Procurement, and Contracts begin interacting under real data volume around Phase 4–5. The fix is cheap now and expensive later: define module-boundary contracts and a minimum automated-testing baseline as part of Phase 0, not as a retrofit.</w:t>
      </w:r>
    </w:p>
    <w:p>
      <w:pPr>
        <w:pStyle w:val="Heading1"/>
        <w:spacing w:after="160" w:before="340"/>
      </w:pPr>
      <w:r>
        <w:t xml:space="preserve">15. Recommended Technology Changes</w:t>
      </w:r>
    </w:p>
    <w:p>
      <w:pPr>
        <w:pStyle w:val="ListParagraph"/>
        <w:numPr>
          <w:ilvl w:val="0"/>
          <w:numId w:val="2"/>
        </w:numPr>
        <w:spacing w:after="60"/>
      </w:pPr>
      <w:r>
        <w:t xml:space="preserve">Introduce a queueing layer (Redis, or a lightweight broker) for the background workers currently described only as a task list, so retries, backoff, and failure visibility are handled consistently.</w:t>
      </w:r>
    </w:p>
    <w:p>
      <w:pPr>
        <w:pStyle w:val="ListParagraph"/>
        <w:numPr>
          <w:ilvl w:val="0"/>
          <w:numId w:val="2"/>
        </w:numPr>
        <w:spacing w:after="60"/>
      </w:pPr>
      <w:r>
        <w:t xml:space="preserve">Use customer-managed encryption keys for object storage (e.g. MinIO with an external KMS, or a cloud KMS if any component is cloud-hosted).</w:t>
      </w:r>
    </w:p>
    <w:p>
      <w:pPr>
        <w:pStyle w:val="ListParagraph"/>
        <w:numPr>
          <w:ilvl w:val="0"/>
          <w:numId w:val="2"/>
        </w:numPr>
        <w:spacing w:after="60"/>
      </w:pPr>
      <w:r>
        <w:t xml:space="preserve">Add a message bus or equivalent for workflow-state-change events, so notifications, audit logging, and downstream modules don't require direct coupling to the originating module.</w:t>
      </w:r>
    </w:p>
    <w:p>
      <w:pPr>
        <w:pStyle w:val="Heading1"/>
        <w:spacing w:after="160" w:before="340"/>
      </w:pPr>
      <w:r>
        <w:t xml:space="preserve">16. Suggested Data Model Changes</w:t>
      </w:r>
    </w:p>
    <w:p>
      <w:pPr>
        <w:pStyle w:val="ListParagraph"/>
        <w:numPr>
          <w:ilvl w:val="0"/>
          <w:numId w:val="2"/>
        </w:numPr>
        <w:spacing w:after="60"/>
      </w:pPr>
      <w:r>
        <w:t xml:space="preserve">Add VendorOnboarding, KYCRecord, InsurancePolicy, and LabourComplianceRecord entities to the domain model.</w:t>
      </w:r>
    </w:p>
    <w:p>
      <w:pPr>
        <w:pStyle w:val="ListParagraph"/>
        <w:numPr>
          <w:ilvl w:val="0"/>
          <w:numId w:val="2"/>
        </w:numPr>
        <w:spacing w:after="60"/>
      </w:pPr>
      <w:r>
        <w:t xml:space="preserve">Add RFI and NCR as distinct entities with their own lifecycle, separate from the generic discrepancy case used for quantity variances.</w:t>
      </w:r>
    </w:p>
    <w:p>
      <w:pPr>
        <w:pStyle w:val="ListParagraph"/>
        <w:numPr>
          <w:ilvl w:val="0"/>
          <w:numId w:val="2"/>
        </w:numPr>
        <w:spacing w:after="60"/>
      </w:pPr>
      <w:r>
        <w:t xml:space="preserve">Add a CostCode entity distinct from BudgetLine to support WBS-based costing rather than budget-line-only tracking.</w:t>
      </w:r>
    </w:p>
    <w:p>
      <w:pPr>
        <w:pStyle w:val="ListParagraph"/>
        <w:numPr>
          <w:ilvl w:val="0"/>
          <w:numId w:val="2"/>
        </w:numPr>
        <w:spacing w:after="60"/>
      </w:pPr>
      <w:r>
        <w:t xml:space="preserve">Strengthen AuditEvent with a hash-chaining field (or equivalent tamper-evidence mechanism) — "append-only" alone does not prove nothing was altered; a hash chain or WORM storage target does.</w:t>
      </w:r>
    </w:p>
    <w:p>
      <w:pPr>
        <w:pStyle w:val="Heading1"/>
        <w:spacing w:after="160" w:before="340"/>
      </w:pPr>
      <w:r>
        <w:t xml:space="preserve">17. Suggested Workflow Changes</w:t>
      </w:r>
    </w:p>
    <w:p>
      <w:pPr>
        <w:pStyle w:val="ListParagraph"/>
        <w:numPr>
          <w:ilvl w:val="0"/>
          <w:numId w:val="2"/>
        </w:numPr>
        <w:spacing w:after="60"/>
      </w:pPr>
      <w:r>
        <w:t xml:space="preserve">Formalize a Vendor Onboarding workflow: KYC → bank verification → compliance documents → approval, before a vendor can receive a purchase order.</w:t>
      </w:r>
    </w:p>
    <w:p>
      <w:pPr>
        <w:pStyle w:val="ListParagraph"/>
        <w:numPr>
          <w:ilvl w:val="0"/>
          <w:numId w:val="2"/>
        </w:numPr>
        <w:spacing w:after="60"/>
      </w:pPr>
      <w:r>
        <w:t xml:space="preserve">Formalize an RFI workflow: raised on site → routed to design/engineering → response → closure, with SLA tracking.</w:t>
      </w:r>
    </w:p>
    <w:p>
      <w:pPr>
        <w:pStyle w:val="ListParagraph"/>
        <w:numPr>
          <w:ilvl w:val="0"/>
          <w:numId w:val="2"/>
        </w:numPr>
        <w:spacing w:after="60"/>
      </w:pPr>
      <w:r>
        <w:t xml:space="preserve">Insert an explicit Contract Execution step (digital signature) between the generic "Approved" and "Executed" states in the workflow engine — currently these are adjacent with no defined mechanism connecting them.</w:t>
      </w:r>
    </w:p>
    <w:p>
      <w:pPr>
        <w:pStyle w:val="Heading1"/>
        <w:spacing w:after="160" w:before="340"/>
      </w:pPr>
      <w:r>
        <w:t xml:space="preserve">18. Suggested Security Improvements</w:t>
      </w:r>
    </w:p>
    <w:p>
      <w:pPr>
        <w:pStyle w:val="ListParagraph"/>
        <w:numPr>
          <w:ilvl w:val="0"/>
          <w:numId w:val="2"/>
        </w:numPr>
        <w:spacing w:after="60"/>
      </w:pPr>
      <w:r>
        <w:t xml:space="preserve">Key management via KMS/HSM rather than relying on encryption being "assumed."</w:t>
      </w:r>
    </w:p>
    <w:p>
      <w:pPr>
        <w:pStyle w:val="ListParagraph"/>
        <w:numPr>
          <w:ilvl w:val="0"/>
          <w:numId w:val="2"/>
        </w:numPr>
        <w:spacing w:after="60"/>
      </w:pPr>
      <w:r>
        <w:t xml:space="preserve">WAF and rate limiting at the access gateway, in addition to the identity and device-trust checks already specified.</w:t>
      </w:r>
    </w:p>
    <w:p>
      <w:pPr>
        <w:pStyle w:val="ListParagraph"/>
        <w:numPr>
          <w:ilvl w:val="0"/>
          <w:numId w:val="2"/>
        </w:numPr>
        <w:spacing w:after="60"/>
      </w:pPr>
      <w:r>
        <w:t xml:space="preserve">A written incident-response runbook — who is notified, what is contained, how customers/authorities are informed if required.</w:t>
      </w:r>
    </w:p>
    <w:p>
      <w:pPr>
        <w:pStyle w:val="ListParagraph"/>
        <w:numPr>
          <w:ilvl w:val="0"/>
          <w:numId w:val="2"/>
        </w:numPr>
        <w:spacing w:after="60"/>
      </w:pPr>
      <w:r>
        <w:t xml:space="preserve">A concrete anti-leakage mechanism beyond watermarking — e.g. session-bound dynamic watermarks and restricted printing — since watermarking alone does not stop a photographed screen.</w:t>
      </w:r>
    </w:p>
    <w:p>
      <w:pPr>
        <w:pStyle w:val="ListParagraph"/>
        <w:numPr>
          <w:ilvl w:val="0"/>
          <w:numId w:val="2"/>
        </w:numPr>
        <w:spacing w:after="60"/>
      </w:pPr>
      <w:r>
        <w:t xml:space="preserve">A dedicated secrets manager (Vault or a cloud-native equivalent) instead of configuration-file secrets.</w:t>
      </w:r>
    </w:p>
    <w:p>
      <w:pPr>
        <w:pStyle w:val="Heading1"/>
        <w:spacing w:after="160" w:before="340"/>
      </w:pPr>
      <w:r>
        <w:t xml:space="preserve">19. Suggested AI Improvements</w:t>
      </w:r>
    </w:p>
    <w:p>
      <w:pPr>
        <w:pStyle w:val="ListParagraph"/>
        <w:numPr>
          <w:ilvl w:val="0"/>
          <w:numId w:val="2"/>
        </w:numPr>
        <w:spacing w:after="60"/>
      </w:pPr>
      <w:r>
        <w:t xml:space="preserve">Make the model-hosting decision explicit and document the data-handling agreement if any third-party API is used.</w:t>
      </w:r>
    </w:p>
    <w:p>
      <w:pPr>
        <w:pStyle w:val="ListParagraph"/>
        <w:numPr>
          <w:ilvl w:val="0"/>
          <w:numId w:val="2"/>
        </w:numPr>
        <w:spacing w:after="60"/>
      </w:pPr>
      <w:r>
        <w:t xml:space="preserve">Add prompt-injection defenses before the AI is allowed to read uploaded contracts, drawings metadata, or external email content.</w:t>
      </w:r>
    </w:p>
    <w:p>
      <w:pPr>
        <w:pStyle w:val="ListParagraph"/>
        <w:numPr>
          <w:ilvl w:val="0"/>
          <w:numId w:val="2"/>
        </w:numPr>
        <w:spacing w:after="60"/>
      </w:pPr>
      <w:r>
        <w:t xml:space="preserve">Extend the existing "explain reasoning with confidence and required approver" design with a minimum confidence threshold below which the AI must decline to recommend rather than guess.</w:t>
      </w:r>
    </w:p>
    <w:p>
      <w:pPr>
        <w:pStyle w:val="ListParagraph"/>
        <w:numPr>
          <w:ilvl w:val="0"/>
          <w:numId w:val="2"/>
        </w:numPr>
        <w:spacing w:after="60"/>
      </w:pPr>
      <w:r>
        <w:t xml:space="preserve">Red-team the Level 1–4 authority boundaries before Phase 11 — specifically test whether drafting or recommendation flows can be chained into an unapproved action.</w:t>
      </w:r>
    </w:p>
    <w:p>
      <w:pPr>
        <w:pStyle w:val="Heading1"/>
        <w:spacing w:after="160" w:before="340"/>
      </w:pPr>
      <w:r>
        <w:t xml:space="preserve">20. Suggested UX Improvements</w:t>
      </w:r>
    </w:p>
    <w:p>
      <w:pPr>
        <w:pStyle w:val="ListParagraph"/>
        <w:numPr>
          <w:ilvl w:val="0"/>
          <w:numId w:val="2"/>
        </w:numPr>
        <w:spacing w:after="60"/>
      </w:pPr>
      <w:r>
        <w:t xml:space="preserve">Design the Site Diary and inspection checklists as a mobile-first, offline-capable app — site connectivity is unreliable and this is where most daily data entry will happen.</w:t>
      </w:r>
    </w:p>
    <w:p>
      <w:pPr>
        <w:pStyle w:val="ListParagraph"/>
        <w:numPr>
          <w:ilvl w:val="0"/>
          <w:numId w:val="2"/>
        </w:numPr>
        <w:spacing w:after="60"/>
      </w:pPr>
      <w:r>
        <w:t xml:space="preserve">Make the QA/QC template builder an explicit no-code UX requirement, not an implied backend configurability — the engineers who will define templates are not developers.</w:t>
      </w:r>
    </w:p>
    <w:p>
      <w:pPr>
        <w:pStyle w:val="Heading1"/>
        <w:spacing w:after="160" w:before="340"/>
      </w:pPr>
      <w:r>
        <w:t xml:space="preserve">21. Suggested Reporting Improvements</w:t>
      </w:r>
    </w:p>
    <w:p>
      <w:pPr>
        <w:pStyle w:val="ListParagraph"/>
        <w:numPr>
          <w:ilvl w:val="0"/>
          <w:numId w:val="2"/>
        </w:numPr>
        <w:spacing w:after="60"/>
      </w:pPr>
      <w:r>
        <w:t xml:space="preserve">Separate the reporting/analytics store (or at minimum a read replica) from the transactional database so dashboard queries cannot degrade operational performance.</w:t>
      </w:r>
    </w:p>
    <w:p>
      <w:pPr>
        <w:pStyle w:val="ListParagraph"/>
        <w:numPr>
          <w:ilvl w:val="0"/>
          <w:numId w:val="2"/>
        </w:numPr>
        <w:spacing w:after="60"/>
      </w:pPr>
      <w:r>
        <w:t xml:space="preserve">Add a report scheduler with export (PDF/Excel) and an audit trail of who generated which report and when.</w:t>
      </w:r>
    </w:p>
    <w:p>
      <w:pPr>
        <w:pStyle w:val="Heading1"/>
        <w:spacing w:after="160" w:before="340"/>
      </w:pPr>
      <w:r>
        <w:t xml:space="preserve">22. Suggested CEO Dashboard Enhancements</w:t>
      </w:r>
    </w:p>
    <w:p>
      <w:pPr>
        <w:pStyle w:val="ListParagraph"/>
        <w:numPr>
          <w:ilvl w:val="0"/>
          <w:numId w:val="2"/>
        </w:numPr>
        <w:spacing w:after="60"/>
      </w:pPr>
      <w:r>
        <w:t xml:space="preserve">Contractor performance scorecards (on-time completion, quality-inspection pass rate).</w:t>
      </w:r>
    </w:p>
    <w:p>
      <w:pPr>
        <w:pStyle w:val="ListParagraph"/>
        <w:numPr>
          <w:ilvl w:val="0"/>
          <w:numId w:val="2"/>
        </w:numPr>
        <w:spacing w:after="60"/>
      </w:pPr>
      <w:r>
        <w:t xml:space="preserve">Sales velocity and inventory aging.</w:t>
      </w:r>
    </w:p>
    <w:p>
      <w:pPr>
        <w:pStyle w:val="ListParagraph"/>
        <w:numPr>
          <w:ilvl w:val="0"/>
          <w:numId w:val="2"/>
        </w:numPr>
        <w:spacing w:after="60"/>
      </w:pPr>
      <w:r>
        <w:t xml:space="preserve">Customer satisfaction / NPS from the possession and handover process.</w:t>
      </w:r>
    </w:p>
    <w:p>
      <w:pPr>
        <w:pStyle w:val="ListParagraph"/>
        <w:numPr>
          <w:ilvl w:val="0"/>
          <w:numId w:val="2"/>
        </w:numPr>
        <w:spacing w:after="60"/>
      </w:pPr>
      <w:r>
        <w:t xml:space="preserve">Approval-bottleneck aging — how long items have sat pending approval, by approver.</w:t>
      </w:r>
    </w:p>
    <w:p>
      <w:pPr>
        <w:pStyle w:val="ListParagraph"/>
        <w:numPr>
          <w:ilvl w:val="0"/>
          <w:numId w:val="2"/>
        </w:numPr>
        <w:spacing w:after="60"/>
      </w:pPr>
      <w:r>
        <w:t xml:space="preserve">A combined risk heatmap blending schedule slippage, budget overrun, and quality-inspection failure signals into a single view.</w:t>
      </w:r>
    </w:p>
    <w:p>
      <w:pPr>
        <w:pStyle w:val="Heading1"/>
        <w:spacing w:after="160" w:before="340"/>
      </w:pPr>
      <w:r>
        <w:t xml:space="preserve">23. Suggested Roadmap Revisions</w:t>
      </w:r>
    </w:p>
    <w:p>
      <w:pPr>
        <w:pStyle w:val="ListParagraph"/>
        <w:numPr>
          <w:ilvl w:val="0"/>
          <w:numId w:val="2"/>
        </w:numPr>
        <w:spacing w:after="60"/>
      </w:pPr>
      <w:r>
        <w:t xml:space="preserve">Move DR topology, key management, and secrets management into Phase 0 — currently only "backups" appears in Phase 1, which is too late for infrastructure that financial and legal data will depend on from Phase 4 onward.</w:t>
      </w:r>
    </w:p>
    <w:p>
      <w:pPr>
        <w:pStyle w:val="ListParagraph"/>
        <w:numPr>
          <w:ilvl w:val="0"/>
          <w:numId w:val="2"/>
        </w:numPr>
        <w:spacing w:after="60"/>
      </w:pPr>
      <w:r>
        <w:t xml:space="preserve">Add a "Phase 0.5: Technology Spike" to close the AI-hosting, event/queue, and reporting-store decisions before Phase 1 implementation starts.</w:t>
      </w:r>
    </w:p>
    <w:p>
      <w:pPr>
        <w:pStyle w:val="ListParagraph"/>
        <w:numPr>
          <w:ilvl w:val="0"/>
          <w:numId w:val="2"/>
        </w:numPr>
        <w:spacing w:after="60"/>
      </w:pPr>
      <w:r>
        <w:t xml:space="preserve">Make vendor/contractor onboarding an explicit line item in Phase 4 rather than assuming it is implied by "Budgets, procurement, vendors, contracts."</w:t>
      </w:r>
    </w:p>
    <w:p>
      <w:pPr>
        <w:pStyle w:val="Heading1"/>
        <w:spacing w:after="160" w:before="340"/>
      </w:pPr>
      <w:r>
        <w:t xml:space="preserve">24. Estimated Long-Term Maintainability</w:t>
      </w:r>
    </w:p>
    <w:p>
      <w:pPr>
        <w:spacing w:after="160"/>
      </w:pPr>
      <w:r>
        <w:rPr>
          <w:b w:val="false"/>
          <w:bCs w:val="false"/>
          <w:i w:val="false"/>
          <w:iCs w:val="false"/>
        </w:rPr>
        <w:t xml:space="preserve">Good, conditional on Phase 0 being expanded to cover testing strategy, internal module API contracts, and the infrastructure decisions listed above (DR, key management, event layer). Without that expansion, maintainability will visibly degrade starting around Phase 5, once construction, procurement, and finance modules begin interacting under real transaction volume rather than in isolation.</w:t>
      </w:r>
    </w:p>
    <w:p>
      <w:pPr>
        <w:pStyle w:val="Heading1"/>
        <w:spacing w:after="160" w:before="340"/>
      </w:pPr>
      <w:r>
        <w:t xml:space="preserve">25. Final Verdict</w:t>
      </w:r>
    </w:p>
    <w:p>
      <w:pPr>
        <w:spacing w:after="200"/>
      </w:pPr>
      <w:r>
        <w:rPr>
          <w:b/>
          <w:bCs/>
        </w:rPr>
        <w:t xml:space="preserve">Proceed, with amendments. </w:t>
      </w:r>
      <w:r>
        <w:t xml:space="preserve">The governance philosophy — approval-gated workflows, human-in-the-loop AI, legal-entity isolation, and Tally retained as the statutory book of record — is sound and above-average for a first-time private ERP design. It is not yet a build-ready blueprint. Infrastructure resilience, key management, the AI hosting decision, and several compliance-adjacent modules (vendor KYC, labour compliance, insurance, e-signature) need explicit decisions before Phase 0 discovery is considered closed. A two-week technical spike to resolve the high-priority items in Section 11 is recommended before committing engineering resources to Phase 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2026-08-16T15:14:08.293Z</dcterms:created>
  <dcterms:modified xsi:type="dcterms:W3CDTF">2026-08-16T15:14:08.294Z</dcterms:modified>
</cp:coreProperties>
</file>

<file path=docProps/custom.xml><?xml version="1.0" encoding="utf-8"?>
<Properties xmlns="http://schemas.openxmlformats.org/officeDocument/2006/custom-properties" xmlns:vt="http://schemas.openxmlformats.org/officeDocument/2006/docPropsVTypes"/>
</file>