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Technical Blueprint v2.0</w:t>
      </w:r>
    </w:p>
    <w:p>
      <w:pPr>
        <w:pStyle w:val="Heading2"/>
        <w:spacing w:after="40"/>
      </w:pPr>
      <w:r>
        <w:t xml:space="preserve">Private Real Estate Development ERP</w:t>
      </w:r>
    </w:p>
    <w:p>
      <w:pPr>
        <w:spacing w:after="160"/>
      </w:pPr>
      <w:r>
        <w:rPr>
          <w:b w:val="false"/>
          <w:bCs w:val="false"/>
          <w:i/>
          <w:iCs/>
        </w:rPr>
        <w:t xml:space="preserve">Build-ready revision — incorporates the Independent Architecture Audit Report</w:t>
      </w:r>
    </w:p>
    <w:p>
      <w:pPr>
        <w:spacing w:after="120"/>
      </w:pPr>
      <w:r>
        <w:rPr>
          <w:b/>
          <w:bCs/>
        </w:rPr>
        <w:t xml:space="preserve">Confidentiality: </w:t>
      </w:r>
      <w:r>
        <w:t xml:space="preserve">Strictly Confidential</w:t>
      </w:r>
    </w:p>
    <w:p>
      <w:pPr>
        <w:spacing w:after="120"/>
      </w:pPr>
      <w:r>
        <w:rPr>
          <w:b/>
          <w:bCs/>
        </w:rPr>
        <w:t xml:space="preserve">Supersedes: </w:t>
      </w:r>
      <w:r>
        <w:t xml:space="preserve">Technical Blueprint v1.0, produced July 20, 2026 (Conversation Transcript, Entries 1–4)</w:t>
      </w:r>
    </w:p>
    <w:p>
      <w:pPr>
        <w:spacing w:after="120"/>
      </w:pPr>
      <w:r>
        <w:rPr>
          <w:b/>
          <w:bCs/>
        </w:rPr>
        <w:t xml:space="preserve">Incorporates findings from: </w:t>
      </w:r>
      <w:r>
        <w:t xml:space="preserve">Independent Architecture Audit Report, dated August 16, 2026</w:t>
      </w:r>
    </w:p>
    <w:p>
      <w:pPr>
        <w:spacing w:after="120"/>
      </w:pPr>
      <w:r>
        <w:rPr>
          <w:b/>
          <w:bCs/>
        </w:rPr>
        <w:t xml:space="preserve">Date of this revision: </w:t>
      </w:r>
      <w:r>
        <w:t xml:space="preserve">August 16, 2026</w:t>
      </w:r>
    </w:p>
    <w:p>
      <w:pPr>
        <w:spacing w:after="120"/>
      </w:pPr>
      <w:r>
        <w:rPr>
          <w:b/>
          <w:bCs/>
        </w:rPr>
        <w:t xml:space="preserve">Status: </w:t>
      </w:r>
      <w:r>
        <w:t xml:space="preserve">Phase 0 — pending owner sign-off on the open decisions listed in Section 25</w:t>
      </w:r>
    </w:p>
    <w:p>
      <w:r>
        <w:br w:type="page"/>
      </w:r>
    </w:p>
    <w:p>
      <w:pPr>
        <w:pStyle w:val="Heading1"/>
        <w:spacing w:after="160" w:before="340"/>
      </w:pPr>
      <w:r>
        <w:t xml:space="preserve">0. Document Control &amp; Change Log</w:t>
      </w:r>
    </w:p>
    <w:p>
      <w:pPr>
        <w:spacing w:after="160"/>
      </w:pPr>
      <w:r>
        <w:rPr>
          <w:b w:val="false"/>
          <w:bCs w:val="false"/>
          <w:i w:val="false"/>
          <w:iCs w:val="false"/>
        </w:rPr>
        <w:t xml:space="preserve">This is a revision, not a rewrite. Everything in v1 that the audit did not flag stands unchanged. Every section below marked NEW or Revised exists specifically to close a gap identified in the Independent Architecture Audit Report. Section 27 (Audit Traceability Matrix) maps every audit finding to the exact section that resolves it, so this document can be checked off against that audit line by line.</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400"/>
        <w:gridCol w:w="1720"/>
      </w:tblGrid>
      <w:tr>
        <w:tc>
          <w:tcPr>
            <w:tcW w:type="dxa" w:w="1600"/>
            <w:shd w:fill="D9D9D9" w:val="clear"/>
          </w:tcPr>
          <w:p>
            <w:pPr>
              <w:spacing w:after="40"/>
            </w:pPr>
            <w:r>
              <w:rPr>
                <w:b/>
                <w:bCs/>
                <w:sz w:val="19"/>
                <w:szCs w:val="19"/>
              </w:rPr>
              <w:t xml:space="preserve">Version</w:t>
            </w:r>
          </w:p>
        </w:tc>
        <w:tc>
          <w:tcPr>
            <w:tcW w:type="dxa" w:w="1600"/>
            <w:shd w:fill="D9D9D9" w:val="clear"/>
          </w:tcPr>
          <w:p>
            <w:pPr>
              <w:spacing w:after="40"/>
            </w:pPr>
            <w:r>
              <w:rPr>
                <w:b/>
                <w:bCs/>
                <w:sz w:val="19"/>
                <w:szCs w:val="19"/>
              </w:rPr>
              <w:t xml:space="preserve">Date</w:t>
            </w:r>
          </w:p>
        </w:tc>
        <w:tc>
          <w:tcPr>
            <w:tcW w:type="dxa" w:w="5400"/>
            <w:shd w:fill="D9D9D9" w:val="clear"/>
          </w:tcPr>
          <w:p>
            <w:pPr>
              <w:spacing w:after="40"/>
            </w:pPr>
            <w:r>
              <w:rPr>
                <w:b/>
                <w:bCs/>
                <w:sz w:val="19"/>
                <w:szCs w:val="19"/>
              </w:rPr>
              <w:t xml:space="preserve">Change</w:t>
            </w:r>
          </w:p>
        </w:tc>
        <w:tc>
          <w:tcPr>
            <w:tcW w:type="dxa" w:w="1720"/>
            <w:shd w:fill="D9D9D9" w:val="clear"/>
          </w:tcPr>
          <w:p>
            <w:pPr>
              <w:spacing w:after="40"/>
            </w:pPr>
            <w:r>
              <w:rPr>
                <w:b/>
                <w:bCs/>
                <w:sz w:val="19"/>
                <w:szCs w:val="19"/>
              </w:rPr>
              <w:t xml:space="preserve">Trigger</w:t>
            </w:r>
          </w:p>
        </w:tc>
      </w:tr>
      <w:tr>
        <w:tc>
          <w:tcPr>
            <w:tcW w:type="dxa" w:w="1600"/>
          </w:tcPr>
          <w:p>
            <w:pPr>
              <w:spacing w:after="40"/>
            </w:pPr>
            <w:r>
              <w:rPr>
                <w:b w:val="false"/>
                <w:bCs w:val="false"/>
                <w:sz w:val="19"/>
                <w:szCs w:val="19"/>
              </w:rPr>
              <w:t xml:space="preserve">v1.0</w:t>
            </w:r>
          </w:p>
        </w:tc>
        <w:tc>
          <w:tcPr>
            <w:tcW w:type="dxa" w:w="1600"/>
          </w:tcPr>
          <w:p>
            <w:pPr>
              <w:spacing w:after="40"/>
            </w:pPr>
            <w:r>
              <w:rPr>
                <w:b w:val="false"/>
                <w:bCs w:val="false"/>
                <w:sz w:val="19"/>
                <w:szCs w:val="19"/>
              </w:rPr>
              <w:t xml:space="preserve">20 Jul 2026</w:t>
            </w:r>
          </w:p>
        </w:tc>
        <w:tc>
          <w:tcPr>
            <w:tcW w:type="dxa" w:w="5400"/>
          </w:tcPr>
          <w:p>
            <w:pPr>
              <w:spacing w:after="40"/>
            </w:pPr>
            <w:r>
              <w:rPr>
                <w:b w:val="false"/>
                <w:bCs w:val="false"/>
                <w:sz w:val="19"/>
                <w:szCs w:val="19"/>
              </w:rPr>
              <w:t xml:space="preserve">Initial technical blueprint produced from planning conversation.</w:t>
            </w:r>
          </w:p>
        </w:tc>
        <w:tc>
          <w:tcPr>
            <w:tcW w:type="dxa" w:w="1720"/>
          </w:tcPr>
          <w:p>
            <w:pPr>
              <w:spacing w:after="40"/>
            </w:pPr>
            <w:r>
              <w:rPr>
                <w:b w:val="false"/>
                <w:bCs w:val="false"/>
                <w:sz w:val="19"/>
                <w:szCs w:val="19"/>
              </w:rPr>
              <w:t xml:space="preserve">Entries 1–4</w:t>
            </w:r>
          </w:p>
        </w:tc>
      </w:tr>
      <w:tr>
        <w:tc>
          <w:tcPr>
            <w:tcW w:type="dxa" w:w="1600"/>
          </w:tcPr>
          <w:p>
            <w:pPr>
              <w:spacing w:after="40"/>
            </w:pPr>
            <w:r>
              <w:rPr>
                <w:b w:val="false"/>
                <w:bCs w:val="false"/>
                <w:sz w:val="19"/>
                <w:szCs w:val="19"/>
              </w:rPr>
              <w:t xml:space="preserve">v2.0</w:t>
            </w:r>
          </w:p>
        </w:tc>
        <w:tc>
          <w:tcPr>
            <w:tcW w:type="dxa" w:w="1600"/>
          </w:tcPr>
          <w:p>
            <w:pPr>
              <w:spacing w:after="40"/>
            </w:pPr>
            <w:r>
              <w:rPr>
                <w:b w:val="false"/>
                <w:bCs w:val="false"/>
                <w:sz w:val="19"/>
                <w:szCs w:val="19"/>
              </w:rPr>
              <w:t xml:space="preserve">16 Aug 2026</w:t>
            </w:r>
          </w:p>
        </w:tc>
        <w:tc>
          <w:tcPr>
            <w:tcW w:type="dxa" w:w="5400"/>
          </w:tcPr>
          <w:p>
            <w:pPr>
              <w:spacing w:after="40"/>
            </w:pPr>
            <w:r>
              <w:rPr>
                <w:b w:val="false"/>
                <w:bCs w:val="false"/>
                <w:sz w:val="19"/>
                <w:szCs w:val="19"/>
              </w:rPr>
              <w:t xml:space="preserve">DR topology, key management, testing/CI/CD strategy, 9 new modules, revised data model, AI hosting decision framework, event/reporting layers, Phase 0.5 spike added.</w:t>
            </w:r>
          </w:p>
        </w:tc>
        <w:tc>
          <w:tcPr>
            <w:tcW w:type="dxa" w:w="1720"/>
          </w:tcPr>
          <w:p>
            <w:pPr>
              <w:spacing w:after="40"/>
            </w:pPr>
            <w:r>
              <w:rPr>
                <w:b w:val="false"/>
                <w:bCs w:val="false"/>
                <w:sz w:val="19"/>
                <w:szCs w:val="19"/>
              </w:rPr>
              <w:t xml:space="preserve">Independent Architecture Audit Report</w:t>
            </w:r>
          </w:p>
        </w:tc>
      </w:tr>
    </w:tbl>
    <w:p>
      <w:r>
        <w:br w:type="page"/>
      </w:r>
    </w:p>
    <w:p>
      <w:pPr>
        <w:pStyle w:val="Heading1"/>
        <w:spacing w:after="160" w:before="340"/>
      </w:pPr>
      <w:r>
        <w:t xml:space="preserve">1. System Objective</w:t>
      </w:r>
    </w:p>
    <w:p>
      <w:pPr>
        <w:spacing w:after="160"/>
      </w:pPr>
      <w:r>
        <w:rPr>
          <w:b w:val="false"/>
          <w:bCs w:val="false"/>
          <w:i w:val="false"/>
          <w:iCs w:val="false"/>
        </w:rPr>
        <w:t xml:space="preserve">Unchanged from v1. Build a private, self-hosted operating platform for a multi-entity real estate development group covering:</w:t>
      </w:r>
    </w:p>
    <w:p>
      <w:pPr>
        <w:spacing w:after="160"/>
      </w:pPr>
      <w:r>
        <w:rPr>
          <w:b w:val="false"/>
          <w:bCs w:val="false"/>
          <w:i/>
          <w:iCs/>
        </w:rPr>
        <w:t xml:space="preserve">Land identification → due diligence → acquisition → statutory approvals → financing → design and BIM → budgeting → procurement → construction → quality control → sales conversion → customer collections → registration → possession → project closure</w:t>
      </w:r>
    </w:p>
    <w:p>
      <w:pPr>
        <w:spacing w:after="160"/>
      </w:pPr>
      <w:r>
        <w:rPr>
          <w:b w:val="false"/>
          <w:bCs w:val="false"/>
          <w:i w:val="false"/>
          <w:iCs w:val="false"/>
        </w:rPr>
        <w:t xml:space="preserve">The platform is not:</w:t>
      </w:r>
    </w:p>
    <w:p>
      <w:pPr>
        <w:pStyle w:val="ListParagraph"/>
        <w:numPr>
          <w:ilvl w:val="0"/>
          <w:numId w:val="2"/>
        </w:numPr>
        <w:spacing w:after="60"/>
      </w:pPr>
      <w:r>
        <w:t xml:space="preserve">A public SaaS product.</w:t>
      </w:r>
    </w:p>
    <w:p>
      <w:pPr>
        <w:pStyle w:val="ListParagraph"/>
        <w:numPr>
          <w:ilvl w:val="0"/>
          <w:numId w:val="2"/>
        </w:numPr>
        <w:spacing w:after="60"/>
      </w:pPr>
      <w:r>
        <w:t xml:space="preserve">An accounting replacement.</w:t>
      </w:r>
    </w:p>
    <w:p>
      <w:pPr>
        <w:pStyle w:val="ListParagraph"/>
        <w:numPr>
          <w:ilvl w:val="0"/>
          <w:numId w:val="2"/>
        </w:numPr>
        <w:spacing w:after="60"/>
      </w:pPr>
      <w:r>
        <w:t xml:space="preserve">A society-management system.</w:t>
      </w:r>
    </w:p>
    <w:p>
      <w:pPr>
        <w:pStyle w:val="ListParagraph"/>
        <w:numPr>
          <w:ilvl w:val="0"/>
          <w:numId w:val="2"/>
        </w:numPr>
        <w:spacing w:after="60"/>
      </w:pPr>
      <w:r>
        <w:t xml:space="preserve">A general knowledge repository.</w:t>
      </w:r>
    </w:p>
    <w:p>
      <w:pPr>
        <w:pStyle w:val="ListParagraph"/>
        <w:numPr>
          <w:ilvl w:val="0"/>
          <w:numId w:val="2"/>
        </w:numPr>
        <w:spacing w:after="60"/>
      </w:pPr>
      <w:r>
        <w:t xml:space="preserve">An autonomous decision-maker.</w:t>
      </w:r>
    </w:p>
    <w:p>
      <w:pPr>
        <w:spacing w:after="160"/>
      </w:pPr>
      <w:r>
        <w:rPr>
          <w:b w:val="false"/>
          <w:bCs w:val="false"/>
          <w:i w:val="false"/>
          <w:iCs w:val="false"/>
        </w:rPr>
        <w:t xml:space="preserve">Its core functions are:</w:t>
      </w:r>
    </w:p>
    <w:p>
      <w:pPr>
        <w:pStyle w:val="ListParagraph"/>
        <w:numPr>
          <w:ilvl w:val="0"/>
          <w:numId w:val="2"/>
        </w:numPr>
        <w:spacing w:after="60"/>
      </w:pPr>
      <w:r>
        <w:t xml:space="preserve">Operational control.</w:t>
      </w:r>
    </w:p>
    <w:p>
      <w:pPr>
        <w:pStyle w:val="ListParagraph"/>
        <w:numPr>
          <w:ilvl w:val="0"/>
          <w:numId w:val="2"/>
        </w:numPr>
        <w:spacing w:after="60"/>
      </w:pPr>
      <w:r>
        <w:t xml:space="preserve">Document and drawing control.</w:t>
      </w:r>
    </w:p>
    <w:p>
      <w:pPr>
        <w:pStyle w:val="ListParagraph"/>
        <w:numPr>
          <w:ilvl w:val="0"/>
          <w:numId w:val="2"/>
        </w:numPr>
        <w:spacing w:after="60"/>
      </w:pPr>
      <w:r>
        <w:t xml:space="preserve">Financial planning and reconciliation.</w:t>
      </w:r>
    </w:p>
    <w:p>
      <w:pPr>
        <w:pStyle w:val="ListParagraph"/>
        <w:numPr>
          <w:ilvl w:val="0"/>
          <w:numId w:val="2"/>
        </w:numPr>
        <w:spacing w:after="60"/>
      </w:pPr>
      <w:r>
        <w:t xml:space="preserve">Approval enforcement.</w:t>
      </w:r>
    </w:p>
    <w:p>
      <w:pPr>
        <w:pStyle w:val="ListParagraph"/>
        <w:numPr>
          <w:ilvl w:val="0"/>
          <w:numId w:val="2"/>
        </w:numPr>
        <w:spacing w:after="60"/>
      </w:pPr>
      <w:r>
        <w:t xml:space="preserve">Risk detection.</w:t>
      </w:r>
    </w:p>
    <w:p>
      <w:pPr>
        <w:pStyle w:val="ListParagraph"/>
        <w:numPr>
          <w:ilvl w:val="0"/>
          <w:numId w:val="2"/>
        </w:numPr>
        <w:spacing w:after="60"/>
      </w:pPr>
      <w:r>
        <w:t xml:space="preserve">Asset and unit tracking.</w:t>
      </w:r>
    </w:p>
    <w:p>
      <w:pPr>
        <w:pStyle w:val="ListParagraph"/>
        <w:numPr>
          <w:ilvl w:val="0"/>
          <w:numId w:val="2"/>
        </w:numPr>
        <w:spacing w:after="60"/>
      </w:pPr>
      <w:r>
        <w:t xml:space="preserve">Decision support.</w:t>
      </w:r>
    </w:p>
    <w:p>
      <w:pPr>
        <w:pStyle w:val="ListParagraph"/>
        <w:numPr>
          <w:ilvl w:val="0"/>
          <w:numId w:val="2"/>
        </w:numPr>
        <w:spacing w:after="60"/>
      </w:pPr>
      <w:r>
        <w:t xml:space="preserve">Immutable accountability.</w:t>
      </w:r>
    </w:p>
    <w:p>
      <w:pPr>
        <w:pStyle w:val="Heading1"/>
        <w:spacing w:after="160" w:before="340"/>
      </w:pPr>
      <w:r>
        <w:t xml:space="preserve">2. Architecture Principles</w:t>
      </w:r>
    </w:p>
    <w:p>
      <w:pPr>
        <w:spacing w:after="160"/>
      </w:pPr>
      <w:r>
        <w:rPr>
          <w:b w:val="false"/>
          <w:bCs w:val="false"/>
          <w:i w:val="false"/>
          <w:iCs w:val="false"/>
        </w:rPr>
        <w:t xml:space="preserve">The eight v1 principles stand. Two are added to close the resilience and defense-in-depth gaps the audit raised (Sections 10, 15, 18).</w:t>
      </w:r>
    </w:p>
    <w:p>
      <w:pPr>
        <w:pStyle w:val="ListParagraph"/>
        <w:numPr>
          <w:ilvl w:val="0"/>
          <w:numId w:val="2"/>
        </w:numPr>
        <w:spacing w:after="60"/>
      </w:pPr>
      <w:r>
        <w:t xml:space="preserve">Private by default.</w:t>
      </w:r>
    </w:p>
    <w:p>
      <w:pPr>
        <w:pStyle w:val="ListParagraph"/>
        <w:numPr>
          <w:ilvl w:val="0"/>
          <w:numId w:val="2"/>
        </w:numPr>
        <w:spacing w:after="60"/>
      </w:pPr>
      <w:r>
        <w:t xml:space="preserve">Human approval for material actions.</w:t>
      </w:r>
    </w:p>
    <w:p>
      <w:pPr>
        <w:pStyle w:val="ListParagraph"/>
        <w:numPr>
          <w:ilvl w:val="0"/>
          <w:numId w:val="2"/>
        </w:numPr>
        <w:spacing w:after="60"/>
      </w:pPr>
      <w:r>
        <w:t xml:space="preserve">Legal-entity separation.</w:t>
      </w:r>
    </w:p>
    <w:p>
      <w:pPr>
        <w:pStyle w:val="ListParagraph"/>
        <w:numPr>
          <w:ilvl w:val="0"/>
          <w:numId w:val="2"/>
        </w:numPr>
        <w:spacing w:after="60"/>
      </w:pPr>
      <w:r>
        <w:t xml:space="preserve">Project isolation.</w:t>
      </w:r>
    </w:p>
    <w:p>
      <w:pPr>
        <w:pStyle w:val="ListParagraph"/>
        <w:numPr>
          <w:ilvl w:val="0"/>
          <w:numId w:val="2"/>
        </w:numPr>
        <w:spacing w:after="60"/>
      </w:pPr>
      <w:r>
        <w:t>ERPNext as the separately deployed statutory accounting book of record.</w:t>
      </w:r>
    </w:p>
    <w:p>
      <w:pPr>
        <w:pStyle w:val="ListParagraph"/>
        <w:numPr>
          <w:ilvl w:val="0"/>
          <w:numId w:val="2"/>
        </w:numPr>
        <w:spacing w:after="60"/>
      </w:pPr>
      <w:r>
        <w:t xml:space="preserve">No silent overwrites.</w:t>
      </w:r>
    </w:p>
    <w:p>
      <w:pPr>
        <w:pStyle w:val="ListParagraph"/>
        <w:numPr>
          <w:ilvl w:val="0"/>
          <w:numId w:val="2"/>
        </w:numPr>
        <w:spacing w:after="60"/>
      </w:pPr>
      <w:r>
        <w:t xml:space="preserve">Exception-based management.</w:t>
      </w:r>
    </w:p>
    <w:p>
      <w:pPr>
        <w:pStyle w:val="ListParagraph"/>
        <w:numPr>
          <w:ilvl w:val="0"/>
          <w:numId w:val="2"/>
        </w:numPr>
        <w:spacing w:after="60"/>
      </w:pPr>
      <w:r>
        <w:t xml:space="preserve">Evidence-backed operations.</w:t>
      </w:r>
    </w:p>
    <w:p>
      <w:pPr>
        <w:spacing w:after="60"/>
      </w:pPr>
      <w:r>
        <w:rPr>
          <w:b/>
          <w:bCs/>
          <w:color w:val="1E7A34"/>
        </w:rPr>
        <w:t xml:space="preserve">NEW — </w:t>
      </w:r>
      <w:r>
        <w:t xml:space="preserve">Recoverable by design — every component that holds financial or legal data of record has a defined RTO/RPO and a tested restore path before it goes live, not after.</w:t>
      </w:r>
    </w:p>
    <w:p>
      <w:pPr>
        <w:spacing w:after="60"/>
      </w:pPr>
      <w:r>
        <w:rPr>
          <w:b/>
          <w:bCs/>
          <w:color w:val="1E7A34"/>
        </w:rPr>
        <w:t xml:space="preserve">NEW — </w:t>
      </w:r>
      <w:r>
        <w:t xml:space="preserve">Defense in depth — identity and device trust are necessary but not sufficient; key management, network-edge controls, and incident response are treated as first-class architecture, not operational afterthoughts.</w:t>
      </w:r>
    </w:p>
    <w:p>
      <w:pPr>
        <w:pStyle w:val="Heading1"/>
        <w:spacing w:after="160" w:before="340"/>
      </w:pPr>
      <w:r>
        <w:t xml:space="preserve">3. Deployment &amp; Disaster Recovery Architecture</w:t>
      </w:r>
    </w:p>
    <w:p>
      <w:pPr>
        <w:spacing w:after="160"/>
      </w:pPr>
      <w:r>
        <w:rPr>
          <w:b w:val="false"/>
          <w:bCs w:val="false"/>
          <w:i w:val="false"/>
          <w:iCs w:val="false"/>
        </w:rPr>
        <w:t xml:space="preserve">Revised. v1 specified only a primary server and a NAS — a single point of failure for a system of record (Audit Section 10, item 1). This section keeps the private, self-hosted topology but adds the resilience layer the audit found missing.</w:t>
      </w:r>
    </w:p>
    <w:p>
      <w:pPr>
        <w:pStyle w:val="Heading2"/>
        <w:spacing w:after="120" w:before="260"/>
      </w:pPr>
      <w:r>
        <w:t xml:space="preserve">3.1 Primary Topology (unchanged)</w:t>
      </w:r>
    </w:p>
    <w:p>
      <w:pPr>
        <w:spacing w:after="160"/>
      </w:pPr>
      <w:r>
        <w:rPr>
          <w:i/>
          <w:iCs/>
        </w:rPr>
        <w:t xml:space="preserve">Authorized browser or mobile device → TLS, identity gateway, and device-bound authentication → private access gateway → outbound encrypted tunnel → application host → PostgreSQL, object storage, search, audit, and backups</w:t>
      </w:r>
    </w:p>
    <w:p>
      <w:pPr>
        <w:spacing w:after="160"/>
      </w:pPr>
      <w:r>
        <w:rPr>
          <w:b w:val="false"/>
          <w:bCs w:val="false"/>
          <w:i w:val="false"/>
          <w:iCs w:val="false"/>
        </w:rPr>
        <w:t xml:space="preserve">Recommended physical environment:</w:t>
      </w:r>
    </w:p>
    <w:p>
      <w:pPr>
        <w:pStyle w:val="ListParagraph"/>
        <w:numPr>
          <w:ilvl w:val="0"/>
          <w:numId w:val="2"/>
        </w:numPr>
        <w:spacing w:after="60"/>
      </w:pPr>
      <w:r>
        <w:t xml:space="preserve">Primary server or mini-PC.</w:t>
      </w:r>
    </w:p>
    <w:p>
      <w:pPr>
        <w:pStyle w:val="ListParagraph"/>
        <w:numPr>
          <w:ilvl w:val="0"/>
          <w:numId w:val="2"/>
        </w:numPr>
        <w:spacing w:after="60"/>
      </w:pPr>
      <w:r>
        <w:t xml:space="preserve">NAS for document storage and snapshots.</w:t>
      </w:r>
    </w:p>
    <w:p>
      <w:pPr>
        <w:pStyle w:val="ListParagraph"/>
        <w:numPr>
          <w:ilvl w:val="0"/>
          <w:numId w:val="2"/>
        </w:numPr>
        <w:spacing w:after="60"/>
      </w:pPr>
      <w:r>
        <w:t xml:space="preserve">Secondary remote device for encrypted off-site backups.</w:t>
      </w:r>
    </w:p>
    <w:p>
      <w:pPr>
        <w:pStyle w:val="ListParagraph"/>
        <w:numPr>
          <w:ilvl w:val="0"/>
          <w:numId w:val="2"/>
        </w:numPr>
        <w:spacing w:after="60"/>
      </w:pPr>
      <w:r>
        <w:t xml:space="preserve">UPS.</w:t>
      </w:r>
    </w:p>
    <w:p>
      <w:pPr>
        <w:pStyle w:val="ListParagraph"/>
        <w:numPr>
          <w:ilvl w:val="0"/>
          <w:numId w:val="2"/>
        </w:numPr>
        <w:spacing w:after="60"/>
      </w:pPr>
      <w:r>
        <w:t xml:space="preserve">Hardware monitoring.</w:t>
      </w:r>
    </w:p>
    <w:p>
      <w:pPr>
        <w:pStyle w:val="Heading2"/>
        <w:spacing w:after="120" w:before="260"/>
      </w:pPr>
      <w:r>
        <w:t xml:space="preserve">3.2 Disaster Recovery Topology</w:t>
      </w:r>
    </w:p>
    <w:p>
      <w:pPr>
        <w:spacing w:after="60"/>
      </w:pPr>
      <w:r>
        <w:rPr>
          <w:b/>
          <w:bCs/>
          <w:color w:val="1E7A34"/>
        </w:rPr>
        <w:t xml:space="preserve">NEW — </w:t>
      </w:r>
      <w:r>
        <w:t xml:space="preserve">Closes Audit Section 10 (Critical Risk 1) and Section 11 (High-Priority Improvement 1).</w:t>
      </w:r>
    </w:p>
    <w:p>
      <w:pPr>
        <w:pStyle w:val="ListParagraph"/>
        <w:numPr>
          <w:ilvl w:val="0"/>
          <w:numId w:val="2"/>
        </w:numPr>
        <w:spacing w:after="60"/>
      </w:pPr>
      <w:r>
        <w:t xml:space="preserve">Warm standby host at a second physical location (owner's second office, relative's premises, or a low-cost colocation rack) — not just an off-site backup copy, but a bootable secondary.</w:t>
      </w:r>
    </w:p>
    <w:p>
      <w:pPr>
        <w:pStyle w:val="ListParagraph"/>
        <w:numPr>
          <w:ilvl w:val="0"/>
          <w:numId w:val="2"/>
        </w:numPr>
        <w:spacing w:after="60"/>
      </w:pPr>
      <w:r>
        <w:t xml:space="preserve">Geo-redundant encrypted backup target distinct from the NAS snapshot — e.g. a second NAS off-site, or encrypted cold storage at a cloud provider, so a single-site event (fire, theft, flood) does not destroy both primary and backup.</w:t>
      </w:r>
    </w:p>
    <w:p>
      <w:pPr>
        <w:pStyle w:val="ListParagraph"/>
        <w:numPr>
          <w:ilvl w:val="0"/>
          <w:numId w:val="2"/>
        </w:numPr>
        <w:spacing w:after="60"/>
      </w:pPr>
      <w:r>
        <w:t xml:space="preserve">Recommended default targets, pending owner sign-off: RTO (Recovery Time Objective) of 4 hours for the application and database, RPO (Recovery Point Objective) of 15 minutes for PostgreSQL via continuous WAL archiving, RPO of 24 hours for object storage via nightly sync.</w:t>
      </w:r>
    </w:p>
    <w:p>
      <w:pPr>
        <w:pStyle w:val="ListParagraph"/>
        <w:numPr>
          <w:ilvl w:val="0"/>
          <w:numId w:val="2"/>
        </w:numPr>
        <w:spacing w:after="60"/>
      </w:pPr>
      <w:r>
        <w:t xml:space="preserve">Scheduled restore-test cadence: a full restore drill onto the standby host every quarter, with results logged as an AuditEvent.</w:t>
      </w:r>
    </w:p>
    <w:p>
      <w:pPr>
        <w:pStyle w:val="ListParagraph"/>
        <w:numPr>
          <w:ilvl w:val="0"/>
          <w:numId w:val="2"/>
        </w:numPr>
        <w:spacing w:after="60"/>
      </w:pPr>
      <w:r>
        <w:t xml:space="preserve">Succession plan for the owner console: the audit correctly flags that a single administrator with no backup is itself a single point of failure (Audit Section 10, item 4). Recommend a sealed, physically-secured break-glass credential held by a second trusted party (e.g. company secretary or a second director), auditable on use, invoked only when the primary owner is unreachable.</w:t>
      </w:r>
    </w:p>
    <w:p>
      <w:pPr>
        <w:pStyle w:val="Heading2"/>
        <w:spacing w:after="120" w:before="260"/>
      </w:pPr>
      <w:r>
        <w:t xml:space="preserve">3.3 Key Management &amp; Secrets Architecture</w:t>
      </w:r>
    </w:p>
    <w:p>
      <w:pPr>
        <w:spacing w:after="60"/>
      </w:pPr>
      <w:r>
        <w:rPr>
          <w:b/>
          <w:bCs/>
          <w:color w:val="1E7A34"/>
        </w:rPr>
        <w:t xml:space="preserve">NEW — </w:t>
      </w:r>
      <w:r>
        <w:t xml:space="preserve">Closes Audit Section 10 (Critical Risk 2), Section 11 (High-Priority Improvement 2), Section 15 (Tech Change 2), and Section 18 (Security Improvements 1 and 5).</w:t>
      </w:r>
    </w:p>
    <w:p>
      <w:pPr>
        <w:spacing w:after="160"/>
      </w:pPr>
      <w:r>
        <w:rPr>
          <w:b w:val="false"/>
          <w:bCs w:val="false"/>
          <w:i w:val="false"/>
          <w:iCs w:val="false"/>
        </w:rPr>
        <w:t xml:space="preserve">v1 assumed encryption throughout the platform without specifying how keys are generated, stored, rotated, or recovered. That gap is closed here:</w:t>
      </w:r>
    </w:p>
    <w:p>
      <w:pPr>
        <w:pStyle w:val="ListParagraph"/>
        <w:numPr>
          <w:ilvl w:val="0"/>
          <w:numId w:val="2"/>
        </w:numPr>
        <w:spacing w:after="60"/>
      </w:pPr>
      <w:r>
        <w:t xml:space="preserve">Key management strategy: self-hosted KMS/HSM (e.g. a YubiHSM2 or a software HSM behind HashiCorp Vault's transit engine) for a fully private deployment; a cloud KMS (AWS KMS, Azure Key Vault, or GCP Cloud KMS) only if a specific component is deliberately cloud-hosted, and only under customer-managed keys.</w:t>
      </w:r>
    </w:p>
    <w:p>
      <w:pPr>
        <w:pStyle w:val="ListParagraph"/>
        <w:numPr>
          <w:ilvl w:val="0"/>
          <w:numId w:val="2"/>
        </w:numPr>
        <w:spacing w:after="60"/>
      </w:pPr>
      <w:r>
        <w:t xml:space="preserve">Object storage (MinIO) uses customer-managed encryption keys sourced from the KMS, not keys generated and stored alongside the data they protect.</w:t>
      </w:r>
    </w:p>
    <w:p>
      <w:pPr>
        <w:pStyle w:val="ListParagraph"/>
        <w:numPr>
          <w:ilvl w:val="0"/>
          <w:numId w:val="2"/>
        </w:numPr>
        <w:spacing w:after="60"/>
      </w:pPr>
      <w:r>
        <w:t xml:space="preserve">Application secrets (database credentials, API tokens, signing keys) move out of configuration files into a dedicated secrets manager (Vault or equivalent), with access scoped per service and logged.</w:t>
      </w:r>
    </w:p>
    <w:p>
      <w:pPr>
        <w:pStyle w:val="ListParagraph"/>
        <w:numPr>
          <w:ilvl w:val="0"/>
          <w:numId w:val="2"/>
        </w:numPr>
        <w:spacing w:after="60"/>
      </w:pPr>
      <w:r>
        <w:t xml:space="preserve">Key rotation policy: data-encryption keys rotated annually or on suspected compromise; key-encryption keys held in the HSM and never exported in plaintext.</w:t>
      </w:r>
    </w:p>
    <w:p>
      <w:pPr>
        <w:pStyle w:val="ListParagraph"/>
        <w:numPr>
          <w:ilvl w:val="0"/>
          <w:numId w:val="2"/>
        </w:numPr>
        <w:spacing w:after="60"/>
      </w:pPr>
      <w:r>
        <w:t xml:space="preserve">This decision — self-hosted HSM vs. cloud KMS — is one of the open items requiring owner sign-off in Section 25, and is a Phase 0.5 deliverable (Section 24).</w:t>
      </w:r>
    </w:p>
    <w:p>
      <w:pPr>
        <w:pStyle w:val="Heading1"/>
        <w:spacing w:after="160" w:before="340"/>
      </w:pPr>
      <w:r>
        <w:t xml:space="preserve">4. Major Domains</w:t>
      </w:r>
    </w:p>
    <w:p>
      <w:pPr>
        <w:spacing w:after="160"/>
      </w:pPr>
      <w:r>
        <w:rPr>
          <w:b w:val="false"/>
          <w:bCs w:val="false"/>
          <w:i w:val="false"/>
          <w:iCs w:val="false"/>
        </w:rPr>
        <w:t xml:space="preserve">The v1 domain list stands. Nine domains are added to close the module gaps in Audit Section 9 (Missing Modules).</w:t>
      </w:r>
    </w:p>
    <w:p>
      <w:pPr>
        <w:pStyle w:val="Heading2"/>
        <w:spacing w:after="120" w:before="260"/>
      </w:pPr>
      <w:r>
        <w:t xml:space="preserve">4.1 Carried over from v1</w:t>
      </w:r>
    </w:p>
    <w:p>
      <w:pPr>
        <w:pStyle w:val="ListParagraph"/>
        <w:numPr>
          <w:ilvl w:val="0"/>
          <w:numId w:val="2"/>
        </w:numPr>
        <w:spacing w:after="60"/>
      </w:pPr>
      <w:r>
        <w:t xml:space="preserve">Identity and access.</w:t>
      </w:r>
    </w:p>
    <w:p>
      <w:pPr>
        <w:pStyle w:val="ListParagraph"/>
        <w:numPr>
          <w:ilvl w:val="0"/>
          <w:numId w:val="2"/>
        </w:numPr>
        <w:spacing w:after="60"/>
      </w:pPr>
      <w:r>
        <w:t xml:space="preserve">Organization and portfolio.</w:t>
      </w:r>
    </w:p>
    <w:p>
      <w:pPr>
        <w:pStyle w:val="ListParagraph"/>
        <w:numPr>
          <w:ilvl w:val="0"/>
          <w:numId w:val="2"/>
        </w:numPr>
        <w:spacing w:after="60"/>
      </w:pPr>
      <w:r>
        <w:t xml:space="preserve">Land and legal.</w:t>
      </w:r>
    </w:p>
    <w:p>
      <w:pPr>
        <w:pStyle w:val="ListParagraph"/>
        <w:numPr>
          <w:ilvl w:val="0"/>
          <w:numId w:val="2"/>
        </w:numPr>
        <w:spacing w:after="60"/>
      </w:pPr>
      <w:r>
        <w:t xml:space="preserve">Compliance and obligations.</w:t>
      </w:r>
    </w:p>
    <w:p>
      <w:pPr>
        <w:pStyle w:val="ListParagraph"/>
        <w:numPr>
          <w:ilvl w:val="0"/>
          <w:numId w:val="2"/>
        </w:numPr>
        <w:spacing w:after="60"/>
      </w:pPr>
      <w:r>
        <w:t xml:space="preserve">Design, drawings, and BIM.</w:t>
      </w:r>
    </w:p>
    <w:p>
      <w:pPr>
        <w:pStyle w:val="ListParagraph"/>
        <w:numPr>
          <w:ilvl w:val="0"/>
          <w:numId w:val="2"/>
        </w:numPr>
        <w:spacing w:after="60"/>
      </w:pPr>
      <w:r>
        <w:t xml:space="preserve">Estimation, BOQ, and quantity control.</w:t>
      </w:r>
    </w:p>
    <w:p>
      <w:pPr>
        <w:pStyle w:val="ListParagraph"/>
        <w:numPr>
          <w:ilvl w:val="0"/>
          <w:numId w:val="2"/>
        </w:numPr>
        <w:spacing w:after="60"/>
      </w:pPr>
      <w:r>
        <w:t xml:space="preserve">Budget and cost control.</w:t>
      </w:r>
    </w:p>
    <w:p>
      <w:pPr>
        <w:pStyle w:val="ListParagraph"/>
        <w:numPr>
          <w:ilvl w:val="0"/>
          <w:numId w:val="2"/>
        </w:numPr>
        <w:spacing w:after="60"/>
      </w:pPr>
      <w:r>
        <w:t xml:space="preserve">Procurement.</w:t>
      </w:r>
    </w:p>
    <w:p>
      <w:pPr>
        <w:pStyle w:val="ListParagraph"/>
        <w:numPr>
          <w:ilvl w:val="0"/>
          <w:numId w:val="2"/>
        </w:numPr>
        <w:spacing w:after="60"/>
      </w:pPr>
      <w:r>
        <w:t xml:space="preserve">Contract lifecycle.</w:t>
      </w:r>
    </w:p>
    <w:p>
      <w:pPr>
        <w:pStyle w:val="ListParagraph"/>
        <w:numPr>
          <w:ilvl w:val="0"/>
          <w:numId w:val="2"/>
        </w:numPr>
        <w:spacing w:after="60"/>
      </w:pPr>
      <w:r>
        <w:t xml:space="preserve">Construction and scheduling.</w:t>
      </w:r>
    </w:p>
    <w:p>
      <w:pPr>
        <w:pStyle w:val="ListParagraph"/>
        <w:numPr>
          <w:ilvl w:val="0"/>
          <w:numId w:val="2"/>
        </w:numPr>
        <w:spacing w:after="60"/>
      </w:pPr>
      <w:r>
        <w:t xml:space="preserve">Quality and site operations.</w:t>
      </w:r>
    </w:p>
    <w:p>
      <w:pPr>
        <w:pStyle w:val="ListParagraph"/>
        <w:numPr>
          <w:ilvl w:val="0"/>
          <w:numId w:val="2"/>
        </w:numPr>
        <w:spacing w:after="60"/>
      </w:pPr>
      <w:r>
        <w:t xml:space="preserve">Materials and traceability.</w:t>
      </w:r>
    </w:p>
    <w:p>
      <w:pPr>
        <w:pStyle w:val="ListParagraph"/>
        <w:numPr>
          <w:ilvl w:val="0"/>
          <w:numId w:val="2"/>
        </w:numPr>
        <w:spacing w:after="60"/>
      </w:pPr>
      <w:r>
        <w:t xml:space="preserve">Customer, collections, and possession.</w:t>
      </w:r>
    </w:p>
    <w:p>
      <w:pPr>
        <w:pStyle w:val="ListParagraph"/>
        <w:numPr>
          <w:ilvl w:val="0"/>
          <w:numId w:val="2"/>
        </w:numPr>
        <w:spacing w:after="60"/>
      </w:pPr>
      <w:r>
        <w:t>Finance operations and provider-neutral external-ledger reconciliation, with ERPNext as the selected adapter.</w:t>
      </w:r>
    </w:p>
    <w:p>
      <w:pPr>
        <w:pStyle w:val="ListParagraph"/>
        <w:numPr>
          <w:ilvl w:val="0"/>
          <w:numId w:val="2"/>
        </w:numPr>
        <w:spacing w:after="60"/>
      </w:pPr>
      <w:r>
        <w:t xml:space="preserve">Communication tasks.</w:t>
      </w:r>
    </w:p>
    <w:p>
      <w:pPr>
        <w:pStyle w:val="ListParagraph"/>
        <w:numPr>
          <w:ilvl w:val="0"/>
          <w:numId w:val="2"/>
        </w:numPr>
        <w:spacing w:after="60"/>
      </w:pPr>
      <w:r>
        <w:t xml:space="preserve">Change management.</w:t>
      </w:r>
    </w:p>
    <w:p>
      <w:pPr>
        <w:pStyle w:val="ListParagraph"/>
        <w:numPr>
          <w:ilvl w:val="0"/>
          <w:numId w:val="2"/>
        </w:numPr>
        <w:spacing w:after="60"/>
      </w:pPr>
      <w:r>
        <w:t xml:space="preserve">Decision support and AI.</w:t>
      </w:r>
    </w:p>
    <w:p>
      <w:pPr>
        <w:pStyle w:val="Heading2"/>
        <w:spacing w:after="120" w:before="260"/>
      </w:pPr>
      <w:r>
        <w:t xml:space="preserve">4.2 New domains</w:t>
      </w:r>
    </w:p>
    <w:p>
      <w:pPr>
        <w:spacing w:after="60"/>
      </w:pPr>
      <w:r>
        <w:rPr>
          <w:b/>
          <w:bCs/>
          <w:color w:val="1E7A34"/>
        </w:rPr>
        <w:t xml:space="preserve">NEW — </w:t>
      </w:r>
      <w:r>
        <w:t xml:space="preserve">Vendor / contractor onboarding and KYC — bank verification, compliance documents, approval, before a vendor can transact.</w:t>
      </w:r>
    </w:p>
    <w:p>
      <w:pPr>
        <w:spacing w:after="60"/>
      </w:pPr>
      <w:r>
        <w:rPr>
          <w:b/>
          <w:bCs/>
          <w:color w:val="1E7A34"/>
        </w:rPr>
        <w:t xml:space="preserve">NEW — </w:t>
      </w:r>
      <w:r>
        <w:t xml:space="preserve">Insurance and risk tracking — CAR (Contractor's All Risk) and professional-indemnity policies, expiry monitoring, claims linkage.</w:t>
      </w:r>
    </w:p>
    <w:p>
      <w:pPr>
        <w:spacing w:after="60"/>
      </w:pPr>
      <w:r>
        <w:rPr>
          <w:b/>
          <w:bCs/>
          <w:color w:val="1E7A34"/>
        </w:rPr>
        <w:t xml:space="preserve">NEW — </w:t>
      </w:r>
      <w:r>
        <w:t xml:space="preserve">Labour compliance — PF, ESI, contract-labour licensing, minimum-wage records.</w:t>
      </w:r>
    </w:p>
    <w:p>
      <w:pPr>
        <w:spacing w:after="60"/>
      </w:pPr>
      <w:r>
        <w:rPr>
          <w:b/>
          <w:bCs/>
          <w:color w:val="1E7A34"/>
        </w:rPr>
        <w:t xml:space="preserve">NEW — </w:t>
      </w:r>
      <w:r>
        <w:t xml:space="preserve">RFI and NCR management — first-class workflow objects with their own lifecycle, distinct from the generic discrepancy case.</w:t>
      </w:r>
    </w:p>
    <w:p>
      <w:pPr>
        <w:spacing w:after="60"/>
      </w:pPr>
      <w:r>
        <w:rPr>
          <w:b/>
          <w:bCs/>
          <w:color w:val="1E7A34"/>
        </w:rPr>
        <w:t xml:space="preserve">NEW — </w:t>
      </w:r>
      <w:r>
        <w:t xml:space="preserve">E-signature and contract execution — the mechanism that legally executes a contract after it reaches Approved.</w:t>
      </w:r>
    </w:p>
    <w:p>
      <w:pPr>
        <w:spacing w:after="60"/>
      </w:pPr>
      <w:r>
        <w:rPr>
          <w:b/>
          <w:bCs/>
          <w:color w:val="1E7A34"/>
        </w:rPr>
        <w:t xml:space="preserve">NEW — </w:t>
      </w:r>
      <w:r>
        <w:t xml:space="preserve">CRM lead funnel and channel-partner commission — v1 named CRM as "integration" with no build-vs-integrate decision; this domain formalizes that boundary (decision required, Section 25).</w:t>
      </w:r>
    </w:p>
    <w:p>
      <w:pPr>
        <w:spacing w:after="60"/>
      </w:pPr>
      <w:r>
        <w:rPr>
          <w:b/>
          <w:bCs/>
          <w:color w:val="1E7A34"/>
        </w:rPr>
        <w:t xml:space="preserve">NEW — </w:t>
      </w:r>
      <w:r>
        <w:t xml:space="preserve">EHS (environment, health, safety) incident management — promoted from a Site Diary line item to a tracked incident register.</w:t>
      </w:r>
    </w:p>
    <w:p>
      <w:pPr>
        <w:spacing w:after="60"/>
      </w:pPr>
      <w:r>
        <w:rPr>
          <w:b/>
          <w:bCs/>
          <w:color w:val="1E7A34"/>
        </w:rPr>
        <w:t xml:space="preserve">NEW — </w:t>
      </w:r>
      <w:r>
        <w:t xml:space="preserve">Notification / event engine — the pub-sub or message layer v1's service architecture never named.</w:t>
      </w:r>
    </w:p>
    <w:p>
      <w:pPr>
        <w:spacing w:after="60"/>
      </w:pPr>
      <w:r>
        <w:rPr>
          <w:b/>
          <w:bCs/>
          <w:color w:val="1E7A34"/>
        </w:rPr>
        <w:t xml:space="preserve">NEW — </w:t>
      </w:r>
      <w:r>
        <w:t xml:space="preserve">Reporting / OLAP layer — analytical queries separated from the transactional Postgres store.</w:t>
      </w:r>
    </w:p>
    <w:p>
      <w:pPr>
        <w:pStyle w:val="Heading1"/>
        <w:spacing w:after="160" w:before="340"/>
      </w:pPr>
      <w:r>
        <w:t xml:space="preserve">5. Domain Model</w:t>
      </w:r>
    </w:p>
    <w:p>
      <w:pPr>
        <w:spacing w:after="60"/>
      </w:pPr>
      <w:r>
        <w:rPr>
          <w:b/>
          <w:bCs/>
          <w:color w:val="1E7A34"/>
        </w:rPr>
        <w:t xml:space="preserve">NEW — </w:t>
      </w:r>
      <w:r>
        <w:t xml:space="preserve">Closes Audit Section 16 (Suggested Data Model Changes).</w:t>
      </w:r>
    </w:p>
    <w:p>
      <w:pPr>
        <w:pStyle w:val="Heading2"/>
        <w:spacing w:after="120" w:before="260"/>
      </w:pPr>
      <w:r>
        <w:t xml:space="preserve">5.1 Core entities (unchanged from v1)</w:t>
      </w:r>
    </w:p>
    <w:p>
      <w:pPr>
        <w:pStyle w:val="ListParagraph"/>
        <w:numPr>
          <w:ilvl w:val="0"/>
          <w:numId w:val="2"/>
        </w:numPr>
        <w:spacing w:after="60"/>
      </w:pPr>
      <w:r>
        <w:t xml:space="preserve">BusinessGroup.</w:t>
      </w:r>
    </w:p>
    <w:p>
      <w:pPr>
        <w:pStyle w:val="ListParagraph"/>
        <w:numPr>
          <w:ilvl w:val="0"/>
          <w:numId w:val="2"/>
        </w:numPr>
        <w:spacing w:after="60"/>
      </w:pPr>
      <w:r>
        <w:t xml:space="preserve">LegalEntity.</w:t>
      </w:r>
    </w:p>
    <w:p>
      <w:pPr>
        <w:pStyle w:val="ListParagraph"/>
        <w:numPr>
          <w:ilvl w:val="0"/>
          <w:numId w:val="2"/>
        </w:numPr>
        <w:spacing w:after="60"/>
      </w:pPr>
      <w:r>
        <w:t xml:space="preserve">Project.</w:t>
      </w:r>
    </w:p>
    <w:p>
      <w:pPr>
        <w:pStyle w:val="ListParagraph"/>
        <w:numPr>
          <w:ilvl w:val="0"/>
          <w:numId w:val="2"/>
        </w:numPr>
        <w:spacing w:after="60"/>
      </w:pPr>
      <w:r>
        <w:t xml:space="preserve">Building.</w:t>
      </w:r>
    </w:p>
    <w:p>
      <w:pPr>
        <w:pStyle w:val="ListParagraph"/>
        <w:numPr>
          <w:ilvl w:val="0"/>
          <w:numId w:val="2"/>
        </w:numPr>
        <w:spacing w:after="60"/>
      </w:pPr>
      <w:r>
        <w:t xml:space="preserve">Floor.</w:t>
      </w:r>
    </w:p>
    <w:p>
      <w:pPr>
        <w:pStyle w:val="ListParagraph"/>
        <w:numPr>
          <w:ilvl w:val="0"/>
          <w:numId w:val="2"/>
        </w:numPr>
        <w:spacing w:after="60"/>
      </w:pPr>
      <w:r>
        <w:t xml:space="preserve">Unit.</w:t>
      </w:r>
    </w:p>
    <w:p>
      <w:pPr>
        <w:pStyle w:val="ListParagraph"/>
        <w:numPr>
          <w:ilvl w:val="0"/>
          <w:numId w:val="2"/>
        </w:numPr>
        <w:spacing w:after="60"/>
      </w:pPr>
      <w:r>
        <w:t xml:space="preserve">LandParcel.</w:t>
      </w:r>
    </w:p>
    <w:p>
      <w:pPr>
        <w:pStyle w:val="ListParagraph"/>
        <w:numPr>
          <w:ilvl w:val="0"/>
          <w:numId w:val="2"/>
        </w:numPr>
        <w:spacing w:after="60"/>
      </w:pPr>
      <w:r>
        <w:t xml:space="preserve">Party.</w:t>
      </w:r>
    </w:p>
    <w:p>
      <w:pPr>
        <w:pStyle w:val="ListParagraph"/>
        <w:numPr>
          <w:ilvl w:val="0"/>
          <w:numId w:val="2"/>
        </w:numPr>
        <w:spacing w:after="60"/>
      </w:pPr>
      <w:r>
        <w:t xml:space="preserve">Vendor.</w:t>
      </w:r>
    </w:p>
    <w:p>
      <w:pPr>
        <w:pStyle w:val="ListParagraph"/>
        <w:numPr>
          <w:ilvl w:val="0"/>
          <w:numId w:val="2"/>
        </w:numPr>
        <w:spacing w:after="60"/>
      </w:pPr>
      <w:r>
        <w:t xml:space="preserve">Contractor.</w:t>
      </w:r>
    </w:p>
    <w:p>
      <w:pPr>
        <w:pStyle w:val="ListParagraph"/>
        <w:numPr>
          <w:ilvl w:val="0"/>
          <w:numId w:val="2"/>
        </w:numPr>
        <w:spacing w:after="60"/>
      </w:pPr>
      <w:r>
        <w:t xml:space="preserve">Customer.</w:t>
      </w:r>
    </w:p>
    <w:p>
      <w:pPr>
        <w:pStyle w:val="ListParagraph"/>
        <w:numPr>
          <w:ilvl w:val="0"/>
          <w:numId w:val="2"/>
        </w:numPr>
        <w:spacing w:after="60"/>
      </w:pPr>
      <w:r>
        <w:t xml:space="preserve">Document.</w:t>
      </w:r>
    </w:p>
    <w:p>
      <w:pPr>
        <w:pStyle w:val="ListParagraph"/>
        <w:numPr>
          <w:ilvl w:val="0"/>
          <w:numId w:val="2"/>
        </w:numPr>
        <w:spacing w:after="60"/>
      </w:pPr>
      <w:r>
        <w:t xml:space="preserve">DocumentVersion.</w:t>
      </w:r>
    </w:p>
    <w:p>
      <w:pPr>
        <w:pStyle w:val="ListParagraph"/>
        <w:numPr>
          <w:ilvl w:val="0"/>
          <w:numId w:val="2"/>
        </w:numPr>
        <w:spacing w:after="60"/>
      </w:pPr>
      <w:r>
        <w:t xml:space="preserve">Budget.</w:t>
      </w:r>
    </w:p>
    <w:p>
      <w:pPr>
        <w:pStyle w:val="ListParagraph"/>
        <w:numPr>
          <w:ilvl w:val="0"/>
          <w:numId w:val="2"/>
        </w:numPr>
        <w:spacing w:after="60"/>
      </w:pPr>
      <w:r>
        <w:t xml:space="preserve">BudgetLine.</w:t>
      </w:r>
    </w:p>
    <w:p>
      <w:pPr>
        <w:pStyle w:val="ListParagraph"/>
        <w:numPr>
          <w:ilvl w:val="0"/>
          <w:numId w:val="2"/>
        </w:numPr>
        <w:spacing w:after="60"/>
      </w:pPr>
      <w:r>
        <w:t xml:space="preserve">Contract.</w:t>
      </w:r>
    </w:p>
    <w:p>
      <w:pPr>
        <w:pStyle w:val="ListParagraph"/>
        <w:numPr>
          <w:ilvl w:val="0"/>
          <w:numId w:val="2"/>
        </w:numPr>
        <w:spacing w:after="60"/>
      </w:pPr>
      <w:r>
        <w:t xml:space="preserve">PurchaseOrder.</w:t>
      </w:r>
    </w:p>
    <w:p>
      <w:pPr>
        <w:pStyle w:val="ListParagraph"/>
        <w:numPr>
          <w:ilvl w:val="0"/>
          <w:numId w:val="2"/>
        </w:numPr>
        <w:spacing w:after="60"/>
      </w:pPr>
      <w:r>
        <w:t xml:space="preserve">QuantityItem.</w:t>
      </w:r>
    </w:p>
    <w:p>
      <w:pPr>
        <w:pStyle w:val="ListParagraph"/>
        <w:numPr>
          <w:ilvl w:val="0"/>
          <w:numId w:val="2"/>
        </w:numPr>
        <w:spacing w:after="60"/>
      </w:pPr>
      <w:r>
        <w:t xml:space="preserve">ScheduleActivity.</w:t>
      </w:r>
    </w:p>
    <w:p>
      <w:pPr>
        <w:pStyle w:val="ListParagraph"/>
        <w:numPr>
          <w:ilvl w:val="0"/>
          <w:numId w:val="2"/>
        </w:numPr>
        <w:spacing w:after="60"/>
      </w:pPr>
      <w:r>
        <w:t xml:space="preserve">Inspection.</w:t>
      </w:r>
    </w:p>
    <w:p>
      <w:pPr>
        <w:pStyle w:val="ListParagraph"/>
        <w:numPr>
          <w:ilvl w:val="0"/>
          <w:numId w:val="2"/>
        </w:numPr>
        <w:spacing w:after="60"/>
      </w:pPr>
      <w:r>
        <w:t xml:space="preserve">MaterialReceipt.</w:t>
      </w:r>
    </w:p>
    <w:p>
      <w:pPr>
        <w:pStyle w:val="ListParagraph"/>
        <w:numPr>
          <w:ilvl w:val="0"/>
          <w:numId w:val="2"/>
        </w:numPr>
        <w:spacing w:after="60"/>
      </w:pPr>
      <w:r>
        <w:t xml:space="preserve">Booking.</w:t>
      </w:r>
    </w:p>
    <w:p>
      <w:pPr>
        <w:pStyle w:val="ListParagraph"/>
        <w:numPr>
          <w:ilvl w:val="0"/>
          <w:numId w:val="2"/>
        </w:numPr>
        <w:spacing w:after="60"/>
      </w:pPr>
      <w:r>
        <w:t xml:space="preserve">PaymentPlan.</w:t>
      </w:r>
    </w:p>
    <w:p>
      <w:pPr>
        <w:pStyle w:val="ListParagraph"/>
        <w:numPr>
          <w:ilvl w:val="0"/>
          <w:numId w:val="2"/>
        </w:numPr>
        <w:spacing w:after="60"/>
      </w:pPr>
      <w:r>
        <w:t xml:space="preserve">WorkflowInstance.</w:t>
      </w:r>
    </w:p>
    <w:p>
      <w:pPr>
        <w:pStyle w:val="ListParagraph"/>
        <w:numPr>
          <w:ilvl w:val="0"/>
          <w:numId w:val="2"/>
        </w:numPr>
        <w:spacing w:after="60"/>
      </w:pPr>
      <w:r>
        <w:t xml:space="preserve">ApprovalRequest.</w:t>
      </w:r>
    </w:p>
    <w:p>
      <w:pPr>
        <w:pStyle w:val="ListParagraph"/>
        <w:numPr>
          <w:ilvl w:val="0"/>
          <w:numId w:val="2"/>
        </w:numPr>
        <w:spacing w:after="60"/>
      </w:pPr>
      <w:r>
        <w:t xml:space="preserve">Task.</w:t>
      </w:r>
    </w:p>
    <w:p>
      <w:pPr>
        <w:pStyle w:val="ListParagraph"/>
        <w:numPr>
          <w:ilvl w:val="0"/>
          <w:numId w:val="2"/>
        </w:numPr>
        <w:spacing w:after="60"/>
      </w:pPr>
      <w:r>
        <w:t xml:space="preserve">AuditEvent.</w:t>
      </w:r>
    </w:p>
    <w:p>
      <w:pPr>
        <w:pStyle w:val="Heading2"/>
        <w:spacing w:after="120" w:before="260"/>
      </w:pPr>
      <w:r>
        <w:t xml:space="preserve">5.2 New and strengthened entities</w:t>
      </w:r>
    </w:p>
    <w:p>
      <w:pPr>
        <w:spacing w:after="60"/>
      </w:pPr>
      <w:r>
        <w:rPr>
          <w:b/>
          <w:bCs/>
          <w:color w:val="1E7A34"/>
        </w:rPr>
        <w:t xml:space="preserve">NEW — </w:t>
      </w:r>
      <w:r>
        <w:t xml:space="preserve">VendorOnboarding — tracks a vendor from invitation through KYC to Active status.</w:t>
      </w:r>
    </w:p>
    <w:p>
      <w:pPr>
        <w:spacing w:after="60"/>
      </w:pPr>
      <w:r>
        <w:rPr>
          <w:b/>
          <w:bCs/>
          <w:color w:val="1E7A34"/>
        </w:rPr>
        <w:t xml:space="preserve">NEW — </w:t>
      </w:r>
      <w:r>
        <w:t xml:space="preserve">KYCRecord — identity, GST, PAN, bank verification documents and their verification status, linked to Vendor and Customer parties.</w:t>
      </w:r>
    </w:p>
    <w:p>
      <w:pPr>
        <w:spacing w:after="60"/>
      </w:pPr>
      <w:r>
        <w:rPr>
          <w:b/>
          <w:bCs/>
          <w:color w:val="1E7A34"/>
        </w:rPr>
        <w:t xml:space="preserve">NEW — </w:t>
      </w:r>
      <w:r>
        <w:t xml:space="preserve">InsurancePolicy — policy number, insurer, coverage type (CAR / professional indemnity / other), sum insured, validity window, linked Project and Contract.</w:t>
      </w:r>
    </w:p>
    <w:p>
      <w:pPr>
        <w:spacing w:after="60"/>
      </w:pPr>
      <w:r>
        <w:rPr>
          <w:b/>
          <w:bCs/>
          <w:color w:val="1E7A34"/>
        </w:rPr>
        <w:t xml:space="preserve">NEW — </w:t>
      </w:r>
      <w:r>
        <w:t xml:space="preserve">LabourComplianceRecord — PF/ESI registration numbers, contract-labour licence references, minimum-wage compliance evidence, linked to Contractor and Project.</w:t>
      </w:r>
    </w:p>
    <w:p>
      <w:pPr>
        <w:spacing w:after="60"/>
      </w:pPr>
      <w:r>
        <w:rPr>
          <w:b/>
          <w:bCs/>
          <w:color w:val="1E7A34"/>
        </w:rPr>
        <w:t xml:space="preserve">NEW — </w:t>
      </w:r>
      <w:r>
        <w:t xml:space="preserve">RFI — Request for Information, with its own status lifecycle (Raised → Routed → Responded → Closed) and SLA timer, distinct from the generic discrepancy case.</w:t>
      </w:r>
    </w:p>
    <w:p>
      <w:pPr>
        <w:spacing w:after="60"/>
      </w:pPr>
      <w:r>
        <w:rPr>
          <w:b/>
          <w:bCs/>
          <w:color w:val="1E7A34"/>
        </w:rPr>
        <w:t xml:space="preserve">NEW — </w:t>
      </w:r>
      <w:r>
        <w:t xml:space="preserve">NCR — Non-Conformance Report, same treatment as RFI, linked to Inspection and ScheduleActivity.</w:t>
      </w:r>
    </w:p>
    <w:p>
      <w:pPr>
        <w:spacing w:after="60"/>
      </w:pPr>
      <w:r>
        <w:rPr>
          <w:b/>
          <w:bCs/>
          <w:color w:val="1E7A34"/>
        </w:rPr>
        <w:t xml:space="preserve">NEW — </w:t>
      </w:r>
      <w:r>
        <w:t xml:space="preserve">CostCode — distinct from BudgetLine, to support WBS-based (Work Breakdown Structure) costing rather than budget-line-only tracking.</w:t>
      </w:r>
    </w:p>
    <w:p>
      <w:pPr>
        <w:spacing w:after="60"/>
      </w:pPr>
      <w:r>
        <w:rPr>
          <w:b/>
          <w:bCs/>
          <w:color w:val="1E7A34"/>
        </w:rPr>
        <w:t xml:space="preserve">NEW — </w:t>
      </w:r>
      <w:r>
        <w:t xml:space="preserve">EHSIncident — safety/environment/health incident record, severity, corrective action, linked to Project and Site Diary entry.</w:t>
      </w:r>
    </w:p>
    <w:p>
      <w:pPr>
        <w:spacing w:after="60"/>
      </w:pPr>
      <w:r>
        <w:rPr>
          <w:b/>
          <w:bCs/>
          <w:color w:val="1E7A34"/>
        </w:rPr>
        <w:t xml:space="preserve">NEW — </w:t>
      </w:r>
      <w:r>
        <w:t xml:space="preserve">NotificationEvent — a workflow-state-change or system event published to the event layer, consumed by notification, audit, and reporting subscribers without direct coupling to the originating module.</w:t>
      </w:r>
    </w:p>
    <w:p>
      <w:pPr>
        <w:spacing w:after="160"/>
      </w:pPr>
      <w:r>
        <w:rPr>
          <w:b w:val="false"/>
          <w:bCs w:val="false"/>
          <w:i w:val="false"/>
          <w:iCs w:val="false"/>
        </w:rPr>
        <w:t xml:space="preserve">AuditEvent is strengthened: v1 specified "append-only." Append-only alone does not prove nothing was altered after the fact. AuditEvent now carries a hash-chaining field — each record includes a hash of the previous record plus its own content, so any retroactive edit breaks the chain and is detectable. A WORM (write-once-read-many) storage target for the audit log's backing store is the alternative or complementary control, evaluated in Phase 0.5.</w:t>
      </w:r>
    </w:p>
    <w:p>
      <w:pPr>
        <w:pStyle w:val="Heading1"/>
        <w:spacing w:after="160" w:before="340"/>
      </w:pPr>
      <w:r>
        <w:t xml:space="preserve">6. Database Architecture</w:t>
      </w:r>
    </w:p>
    <w:p>
      <w:pPr>
        <w:spacing w:after="160"/>
      </w:pPr>
      <w:r>
        <w:rPr>
          <w:b w:val="false"/>
          <w:bCs w:val="false"/>
          <w:i w:val="false"/>
          <w:iCs w:val="false"/>
        </w:rPr>
        <w:t xml:space="preserve">PostgreSQL remains the primary transactional database. Schema list unchanged from v1, with three additions and one architectural split.</w:t>
      </w:r>
    </w:p>
    <w:p>
      <w:pPr>
        <w:spacing w:after="160"/>
      </w:pPr>
      <w:r>
        <w:rPr>
          <w:b w:val="false"/>
          <w:bCs w:val="false"/>
          <w:i w:val="false"/>
          <w:iCs w:val="false"/>
        </w:rPr>
        <w:t xml:space="preserve">Suggested schemas (v1, unchanged): identity, organization, land, compliance, documents, design, quantities, budget, procurement, contracts, construction, quality, inventory, sales, customers, finance, workflow, communications, ai, audit.</w:t>
      </w:r>
    </w:p>
    <w:p>
      <w:pPr>
        <w:spacing w:after="60"/>
      </w:pPr>
      <w:r>
        <w:rPr>
          <w:b/>
          <w:bCs/>
          <w:color w:val="1E7A34"/>
        </w:rPr>
        <w:t xml:space="preserve">NEW — </w:t>
      </w:r>
      <w:r>
        <w:t xml:space="preserve">Added schemas: vendor_onboarding (KYC, InsurancePolicy, LabourComplianceRecord), quality extended to carry RFI and NCR as first-class tables, and reporting — a schema fed by logical replication rather than queried directly by transactional workloads (see Section 20).</w:t>
      </w:r>
    </w:p>
    <w:p>
      <w:pPr>
        <w:spacing w:after="160"/>
      </w:pPr>
      <w:r>
        <w:rPr>
          <w:b w:val="false"/>
          <w:bCs w:val="false"/>
          <w:i w:val="false"/>
          <w:iCs w:val="false"/>
        </w:rPr>
        <w:t xml:space="preserve">Business tables should include, unchanged:</w:t>
      </w:r>
    </w:p>
    <w:p>
      <w:pPr>
        <w:pStyle w:val="ListParagraph"/>
        <w:numPr>
          <w:ilvl w:val="0"/>
          <w:numId w:val="2"/>
        </w:numPr>
        <w:spacing w:after="60"/>
      </w:pPr>
      <w:r>
        <w:t xml:space="preserve">UUID primary key.</w:t>
      </w:r>
    </w:p>
    <w:p>
      <w:pPr>
        <w:pStyle w:val="ListParagraph"/>
        <w:numPr>
          <w:ilvl w:val="0"/>
          <w:numId w:val="2"/>
        </w:numPr>
        <w:spacing w:after="60"/>
      </w:pPr>
      <w:r>
        <w:t xml:space="preserve">Legal entity ID where applicable.</w:t>
      </w:r>
    </w:p>
    <w:p>
      <w:pPr>
        <w:pStyle w:val="ListParagraph"/>
        <w:numPr>
          <w:ilvl w:val="0"/>
          <w:numId w:val="2"/>
        </w:numPr>
        <w:spacing w:after="60"/>
      </w:pPr>
      <w:r>
        <w:t xml:space="preserve">Project ID where applicable.</w:t>
      </w:r>
    </w:p>
    <w:p>
      <w:pPr>
        <w:pStyle w:val="ListParagraph"/>
        <w:numPr>
          <w:ilvl w:val="0"/>
          <w:numId w:val="2"/>
        </w:numPr>
        <w:spacing w:after="60"/>
      </w:pPr>
      <w:r>
        <w:t xml:space="preserve">Status.</w:t>
      </w:r>
    </w:p>
    <w:p>
      <w:pPr>
        <w:pStyle w:val="ListParagraph"/>
        <w:numPr>
          <w:ilvl w:val="0"/>
          <w:numId w:val="2"/>
        </w:numPr>
        <w:spacing w:after="60"/>
      </w:pPr>
      <w:r>
        <w:t xml:space="preserve">Created and updated timestamps.</w:t>
      </w:r>
    </w:p>
    <w:p>
      <w:pPr>
        <w:pStyle w:val="ListParagraph"/>
        <w:numPr>
          <w:ilvl w:val="0"/>
          <w:numId w:val="2"/>
        </w:numPr>
        <w:spacing w:after="60"/>
      </w:pPr>
      <w:r>
        <w:t xml:space="preserve">Created and updated by.</w:t>
      </w:r>
    </w:p>
    <w:p>
      <w:pPr>
        <w:pStyle w:val="ListParagraph"/>
        <w:numPr>
          <w:ilvl w:val="0"/>
          <w:numId w:val="2"/>
        </w:numPr>
        <w:spacing w:after="60"/>
      </w:pPr>
      <w:r>
        <w:t xml:space="preserve">Version number.</w:t>
      </w:r>
    </w:p>
    <w:p>
      <w:pPr>
        <w:pStyle w:val="ListParagraph"/>
        <w:numPr>
          <w:ilvl w:val="0"/>
          <w:numId w:val="2"/>
        </w:numPr>
        <w:spacing w:after="60"/>
      </w:pPr>
      <w:r>
        <w:t xml:space="preserve">Archive timestamp.</w:t>
      </w:r>
    </w:p>
    <w:p>
      <w:pPr>
        <w:spacing w:after="160"/>
      </w:pPr>
      <w:r>
        <w:rPr>
          <w:b w:val="false"/>
          <w:bCs w:val="false"/>
          <w:i w:val="false"/>
          <w:iCs w:val="false"/>
        </w:rPr>
        <w:t xml:space="preserve">Audit records are append-only and tamper-evident via the hash-chaining field described in Section 5.2.</w:t>
      </w:r>
    </w:p>
    <w:p>
      <w:pPr>
        <w:pStyle w:val="Heading1"/>
        <w:spacing w:after="160" w:before="340"/>
      </w:pPr>
      <w:r>
        <w:t xml:space="preserve">7. Service Architecture</w:t>
      </w:r>
    </w:p>
    <w:p>
      <w:pPr>
        <w:spacing w:after="160"/>
      </w:pPr>
      <w:r>
        <w:rPr>
          <w:b w:val="false"/>
          <w:bCs w:val="false"/>
          <w:i w:val="false"/>
          <w:iCs w:val="false"/>
        </w:rPr>
        <w:t xml:space="preserve">The initial implementation remains a modular monolith, not microservices — the audit endorsed this as the right call for a single-team, single-region build (Overall Architecture Score commentary). Two structural additions close the coupling and reliability gaps the audit found (Section 12, item 2; Section 15, items 1 and 3).</w:t>
      </w:r>
    </w:p>
    <w:p>
      <w:pPr>
        <w:spacing w:after="160"/>
      </w:pPr>
      <w:r>
        <w:rPr>
          <w:b w:val="false"/>
          <w:bCs w:val="false"/>
          <w:i w:val="false"/>
          <w:iCs w:val="false"/>
        </w:rPr>
        <w:t xml:space="preserve">Internal modules (v1, unchanged, plus additions in bold via the NEW markers below):</w:t>
      </w:r>
    </w:p>
    <w:p>
      <w:pPr>
        <w:pStyle w:val="ListParagraph"/>
        <w:numPr>
          <w:ilvl w:val="0"/>
          <w:numId w:val="2"/>
        </w:numPr>
        <w:spacing w:after="60"/>
      </w:pPr>
      <w:r>
        <w:t xml:space="preserve">Identity.</w:t>
      </w:r>
    </w:p>
    <w:p>
      <w:pPr>
        <w:pStyle w:val="ListParagraph"/>
        <w:numPr>
          <w:ilvl w:val="0"/>
          <w:numId w:val="2"/>
        </w:numPr>
        <w:spacing w:after="60"/>
      </w:pPr>
      <w:r>
        <w:t xml:space="preserve">Organization.</w:t>
      </w:r>
    </w:p>
    <w:p>
      <w:pPr>
        <w:pStyle w:val="ListParagraph"/>
        <w:numPr>
          <w:ilvl w:val="0"/>
          <w:numId w:val="2"/>
        </w:numPr>
        <w:spacing w:after="60"/>
      </w:pPr>
      <w:r>
        <w:t xml:space="preserve">Land.</w:t>
      </w:r>
    </w:p>
    <w:p>
      <w:pPr>
        <w:pStyle w:val="ListParagraph"/>
        <w:numPr>
          <w:ilvl w:val="0"/>
          <w:numId w:val="2"/>
        </w:numPr>
        <w:spacing w:after="60"/>
      </w:pPr>
      <w:r>
        <w:t xml:space="preserve">Compliance.</w:t>
      </w:r>
    </w:p>
    <w:p>
      <w:pPr>
        <w:pStyle w:val="ListParagraph"/>
        <w:numPr>
          <w:ilvl w:val="0"/>
          <w:numId w:val="2"/>
        </w:numPr>
        <w:spacing w:after="60"/>
      </w:pPr>
      <w:r>
        <w:t xml:space="preserve">Documents.</w:t>
      </w:r>
    </w:p>
    <w:p>
      <w:pPr>
        <w:pStyle w:val="ListParagraph"/>
        <w:numPr>
          <w:ilvl w:val="0"/>
          <w:numId w:val="2"/>
        </w:numPr>
        <w:spacing w:after="60"/>
      </w:pPr>
      <w:r>
        <w:t xml:space="preserve">BIM.</w:t>
      </w:r>
    </w:p>
    <w:p>
      <w:pPr>
        <w:pStyle w:val="ListParagraph"/>
        <w:numPr>
          <w:ilvl w:val="0"/>
          <w:numId w:val="2"/>
        </w:numPr>
        <w:spacing w:after="60"/>
      </w:pPr>
      <w:r>
        <w:t xml:space="preserve">Quantities.</w:t>
      </w:r>
    </w:p>
    <w:p>
      <w:pPr>
        <w:pStyle w:val="ListParagraph"/>
        <w:numPr>
          <w:ilvl w:val="0"/>
          <w:numId w:val="2"/>
        </w:numPr>
        <w:spacing w:after="60"/>
      </w:pPr>
      <w:r>
        <w:t xml:space="preserve">Budget.</w:t>
      </w:r>
    </w:p>
    <w:p>
      <w:pPr>
        <w:pStyle w:val="ListParagraph"/>
        <w:numPr>
          <w:ilvl w:val="0"/>
          <w:numId w:val="2"/>
        </w:numPr>
        <w:spacing w:after="60"/>
      </w:pPr>
      <w:r>
        <w:t xml:space="preserve">Procurement.</w:t>
      </w:r>
    </w:p>
    <w:p>
      <w:pPr>
        <w:pStyle w:val="ListParagraph"/>
        <w:numPr>
          <w:ilvl w:val="0"/>
          <w:numId w:val="2"/>
        </w:numPr>
        <w:spacing w:after="60"/>
      </w:pPr>
      <w:r>
        <w:t xml:space="preserve">Contracts.</w:t>
      </w:r>
    </w:p>
    <w:p>
      <w:pPr>
        <w:pStyle w:val="ListParagraph"/>
        <w:numPr>
          <w:ilvl w:val="0"/>
          <w:numId w:val="2"/>
        </w:numPr>
        <w:spacing w:after="60"/>
      </w:pPr>
      <w:r>
        <w:t xml:space="preserve">Construction.</w:t>
      </w:r>
    </w:p>
    <w:p>
      <w:pPr>
        <w:pStyle w:val="ListParagraph"/>
        <w:numPr>
          <w:ilvl w:val="0"/>
          <w:numId w:val="2"/>
        </w:numPr>
        <w:spacing w:after="60"/>
      </w:pPr>
      <w:r>
        <w:t xml:space="preserve">Quality (now includes RFI and NCR).</w:t>
      </w:r>
    </w:p>
    <w:p>
      <w:pPr>
        <w:pStyle w:val="ListParagraph"/>
        <w:numPr>
          <w:ilvl w:val="0"/>
          <w:numId w:val="2"/>
        </w:numPr>
        <w:spacing w:after="60"/>
      </w:pPr>
      <w:r>
        <w:t xml:space="preserve">Inventory.</w:t>
      </w:r>
    </w:p>
    <w:p>
      <w:pPr>
        <w:pStyle w:val="ListParagraph"/>
        <w:numPr>
          <w:ilvl w:val="0"/>
          <w:numId w:val="2"/>
        </w:numPr>
        <w:spacing w:after="60"/>
      </w:pPr>
      <w:r>
        <w:t xml:space="preserve">Customer.</w:t>
      </w:r>
    </w:p>
    <w:p>
      <w:pPr>
        <w:pStyle w:val="ListParagraph"/>
        <w:numPr>
          <w:ilvl w:val="0"/>
          <w:numId w:val="2"/>
        </w:numPr>
        <w:spacing w:after="60"/>
      </w:pPr>
      <w:r>
        <w:t xml:space="preserve">Finance.</w:t>
      </w:r>
    </w:p>
    <w:p>
      <w:pPr>
        <w:pStyle w:val="ListParagraph"/>
        <w:numPr>
          <w:ilvl w:val="0"/>
          <w:numId w:val="2"/>
        </w:numPr>
        <w:spacing w:after="60"/>
      </w:pPr>
      <w:r>
        <w:t xml:space="preserve">Workflow.</w:t>
      </w:r>
    </w:p>
    <w:p>
      <w:pPr>
        <w:pStyle w:val="ListParagraph"/>
        <w:numPr>
          <w:ilvl w:val="0"/>
          <w:numId w:val="2"/>
        </w:numPr>
        <w:spacing w:after="60"/>
      </w:pPr>
      <w:r>
        <w:t xml:space="preserve">Communications.</w:t>
      </w:r>
    </w:p>
    <w:p>
      <w:pPr>
        <w:pStyle w:val="ListParagraph"/>
        <w:numPr>
          <w:ilvl w:val="0"/>
          <w:numId w:val="2"/>
        </w:numPr>
        <w:spacing w:after="60"/>
      </w:pPr>
      <w:r>
        <w:t xml:space="preserve">Reporting.</w:t>
      </w:r>
    </w:p>
    <w:p>
      <w:pPr>
        <w:pStyle w:val="ListParagraph"/>
        <w:numPr>
          <w:ilvl w:val="0"/>
          <w:numId w:val="2"/>
        </w:numPr>
        <w:spacing w:after="60"/>
      </w:pPr>
      <w:r>
        <w:t xml:space="preserve">AI.</w:t>
      </w:r>
    </w:p>
    <w:p>
      <w:pPr>
        <w:spacing w:after="60"/>
      </w:pPr>
      <w:r>
        <w:rPr>
          <w:b/>
          <w:bCs/>
          <w:color w:val="1E7A34"/>
        </w:rPr>
        <w:t xml:space="preserve">NEW — </w:t>
      </w:r>
      <w:r>
        <w:t xml:space="preserve">Vendor Onboarding module — KYC, bank verification, compliance-document intake.</w:t>
      </w:r>
    </w:p>
    <w:p>
      <w:pPr>
        <w:spacing w:after="60"/>
      </w:pPr>
      <w:r>
        <w:rPr>
          <w:b/>
          <w:bCs/>
          <w:color w:val="1E7A34"/>
        </w:rPr>
        <w:t xml:space="preserve">NEW — </w:t>
      </w:r>
      <w:r>
        <w:t xml:space="preserve">Notifications / Events module — the pub-sub layer described in Section 19.</w:t>
      </w:r>
    </w:p>
    <w:p>
      <w:pPr>
        <w:pStyle w:val="Heading2"/>
        <w:spacing w:after="120" w:before="260"/>
      </w:pPr>
      <w:r>
        <w:t xml:space="preserve">7.1 Background workers</w:t>
      </w:r>
    </w:p>
    <w:p>
      <w:pPr>
        <w:pStyle w:val="ListParagraph"/>
        <w:numPr>
          <w:ilvl w:val="0"/>
          <w:numId w:val="2"/>
        </w:numPr>
        <w:spacing w:after="60"/>
      </w:pPr>
      <w:r>
        <w:t xml:space="preserve">Document conversion.</w:t>
      </w:r>
    </w:p>
    <w:p>
      <w:pPr>
        <w:pStyle w:val="ListParagraph"/>
        <w:numPr>
          <w:ilvl w:val="0"/>
          <w:numId w:val="2"/>
        </w:numPr>
        <w:spacing w:after="60"/>
      </w:pPr>
      <w:r>
        <w:t xml:space="preserve">Thumbnail generation.</w:t>
      </w:r>
    </w:p>
    <w:p>
      <w:pPr>
        <w:pStyle w:val="ListParagraph"/>
        <w:numPr>
          <w:ilvl w:val="0"/>
          <w:numId w:val="2"/>
        </w:numPr>
        <w:spacing w:after="60"/>
      </w:pPr>
      <w:r>
        <w:t xml:space="preserve">PDF watermarking.</w:t>
      </w:r>
    </w:p>
    <w:p>
      <w:pPr>
        <w:pStyle w:val="ListParagraph"/>
        <w:numPr>
          <w:ilvl w:val="0"/>
          <w:numId w:val="2"/>
        </w:numPr>
        <w:spacing w:after="60"/>
      </w:pPr>
      <w:r>
        <w:t xml:space="preserve">BIM extraction.</w:t>
      </w:r>
    </w:p>
    <w:p>
      <w:pPr>
        <w:pStyle w:val="ListParagraph"/>
        <w:numPr>
          <w:ilvl w:val="0"/>
          <w:numId w:val="2"/>
        </w:numPr>
        <w:spacing w:after="60"/>
      </w:pPr>
      <w:r>
        <w:t xml:space="preserve">Reminder scheduling.</w:t>
      </w:r>
    </w:p>
    <w:p>
      <w:pPr>
        <w:pStyle w:val="ListParagraph"/>
        <w:numPr>
          <w:ilvl w:val="0"/>
          <w:numId w:val="2"/>
        </w:numPr>
        <w:spacing w:after="60"/>
      </w:pPr>
      <w:r>
        <w:t>Controlled ERPNext synchronization through the External Ledger boundary.</w:t>
      </w:r>
    </w:p>
    <w:p>
      <w:pPr>
        <w:pStyle w:val="ListParagraph"/>
        <w:numPr>
          <w:ilvl w:val="0"/>
          <w:numId w:val="2"/>
        </w:numPr>
        <w:spacing w:after="60"/>
      </w:pPr>
      <w:r>
        <w:t xml:space="preserve">Reconciliation.</w:t>
      </w:r>
    </w:p>
    <w:p>
      <w:pPr>
        <w:pStyle w:val="ListParagraph"/>
        <w:numPr>
          <w:ilvl w:val="0"/>
          <w:numId w:val="2"/>
        </w:numPr>
        <w:spacing w:after="60"/>
      </w:pPr>
      <w:r>
        <w:t xml:space="preserve">Search indexing.</w:t>
      </w:r>
    </w:p>
    <w:p>
      <w:pPr>
        <w:pStyle w:val="ListParagraph"/>
        <w:numPr>
          <w:ilvl w:val="0"/>
          <w:numId w:val="2"/>
        </w:numPr>
        <w:spacing w:after="60"/>
      </w:pPr>
      <w:r>
        <w:t xml:space="preserve">Reports.</w:t>
      </w:r>
    </w:p>
    <w:p>
      <w:pPr>
        <w:pStyle w:val="ListParagraph"/>
        <w:numPr>
          <w:ilvl w:val="0"/>
          <w:numId w:val="2"/>
        </w:numPr>
        <w:spacing w:after="60"/>
      </w:pPr>
      <w:r>
        <w:t xml:space="preserve">Backups.</w:t>
      </w:r>
    </w:p>
    <w:p>
      <w:pPr>
        <w:pStyle w:val="ListParagraph"/>
        <w:numPr>
          <w:ilvl w:val="0"/>
          <w:numId w:val="2"/>
        </w:numPr>
        <w:spacing w:after="60"/>
      </w:pPr>
      <w:r>
        <w:t xml:space="preserve">Integrity checks.</w:t>
      </w:r>
    </w:p>
    <w:p>
      <w:pPr>
        <w:spacing w:after="60"/>
      </w:pPr>
      <w:r>
        <w:rPr>
          <w:b/>
          <w:bCs/>
          <w:color w:val="1E7A34"/>
        </w:rPr>
        <w:t xml:space="preserve">NEW — </w:t>
      </w:r>
      <w:r>
        <w:t xml:space="preserve">Queueing layer: background workers were described in v1 only as a task list, with no stated mechanism for retries, backoff, or failure visibility. A queueing layer (Redis, or a lightweight broker such as BullMQ/RQ on top of it) is added so failed jobs are retried with backoff and surfaced to an operator rather than silently dropped.</w:t>
      </w:r>
    </w:p>
    <w:p>
      <w:pPr>
        <w:spacing w:after="60"/>
      </w:pPr>
      <w:r>
        <w:rPr>
          <w:b/>
          <w:bCs/>
          <w:color w:val="1E7A34"/>
        </w:rPr>
        <w:t xml:space="preserve">NEW — </w:t>
      </w:r>
      <w:r>
        <w:t xml:space="preserve">Message bus for workflow-state-change events — at current single-server scale, Postgres LISTEN/NOTIFY is sufficient; a dedicated broker (e.g. NATS or Redis Streams) is the upgrade path once multi-city operation is live. This decouples notification, audit logging, and downstream modules from direct calls into the originating module.</w:t>
      </w:r>
    </w:p>
    <w:p>
      <w:pPr>
        <w:pStyle w:val="Heading1"/>
        <w:spacing w:after="160" w:before="340"/>
      </w:pPr>
      <w:r>
        <w:t xml:space="preserve">8. Workflow Engine</w:t>
      </w:r>
    </w:p>
    <w:p>
      <w:pPr>
        <w:spacing w:after="160"/>
      </w:pPr>
      <w:r>
        <w:rPr>
          <w:b w:val="false"/>
          <w:bCs w:val="false"/>
          <w:i w:val="false"/>
          <w:iCs w:val="false"/>
        </w:rPr>
        <w:t xml:space="preserve">Capabilities unchanged from v1:</w:t>
      </w:r>
    </w:p>
    <w:p>
      <w:pPr>
        <w:pStyle w:val="ListParagraph"/>
        <w:numPr>
          <w:ilvl w:val="0"/>
          <w:numId w:val="2"/>
        </w:numPr>
        <w:spacing w:after="60"/>
      </w:pPr>
      <w:r>
        <w:t xml:space="preserve">Versioned workflow definitions.</w:t>
      </w:r>
    </w:p>
    <w:p>
      <w:pPr>
        <w:pStyle w:val="ListParagraph"/>
        <w:numPr>
          <w:ilvl w:val="0"/>
          <w:numId w:val="2"/>
        </w:numPr>
        <w:spacing w:after="60"/>
      </w:pPr>
      <w:r>
        <w:t xml:space="preserve">Conditional routing.</w:t>
      </w:r>
    </w:p>
    <w:p>
      <w:pPr>
        <w:pStyle w:val="ListParagraph"/>
        <w:numPr>
          <w:ilvl w:val="0"/>
          <w:numId w:val="2"/>
        </w:numPr>
        <w:spacing w:after="60"/>
      </w:pPr>
      <w:r>
        <w:t xml:space="preserve">Serial and parallel approvals.</w:t>
      </w:r>
    </w:p>
    <w:p>
      <w:pPr>
        <w:pStyle w:val="ListParagraph"/>
        <w:numPr>
          <w:ilvl w:val="0"/>
          <w:numId w:val="2"/>
        </w:numPr>
        <w:spacing w:after="60"/>
      </w:pPr>
      <w:r>
        <w:t xml:space="preserve">Quorum rules.</w:t>
      </w:r>
    </w:p>
    <w:p>
      <w:pPr>
        <w:pStyle w:val="ListParagraph"/>
        <w:numPr>
          <w:ilvl w:val="0"/>
          <w:numId w:val="2"/>
        </w:numPr>
        <w:spacing w:after="60"/>
      </w:pPr>
      <w:r>
        <w:t xml:space="preserve">Monetary thresholds.</w:t>
      </w:r>
    </w:p>
    <w:p>
      <w:pPr>
        <w:pStyle w:val="ListParagraph"/>
        <w:numPr>
          <w:ilvl w:val="0"/>
          <w:numId w:val="2"/>
        </w:numPr>
        <w:spacing w:after="60"/>
      </w:pPr>
      <w:r>
        <w:t xml:space="preserve">Role-based approval.</w:t>
      </w:r>
    </w:p>
    <w:p>
      <w:pPr>
        <w:pStyle w:val="ListParagraph"/>
        <w:numPr>
          <w:ilvl w:val="0"/>
          <w:numId w:val="2"/>
        </w:numPr>
        <w:spacing w:after="60"/>
      </w:pPr>
      <w:r>
        <w:t xml:space="preserve">Entity and project-specific rules.</w:t>
      </w:r>
    </w:p>
    <w:p>
      <w:pPr>
        <w:pStyle w:val="ListParagraph"/>
        <w:numPr>
          <w:ilvl w:val="0"/>
          <w:numId w:val="2"/>
        </w:numPr>
        <w:spacing w:after="60"/>
      </w:pPr>
      <w:r>
        <w:t xml:space="preserve">Escalation.</w:t>
      </w:r>
    </w:p>
    <w:p>
      <w:pPr>
        <w:pStyle w:val="ListParagraph"/>
        <w:numPr>
          <w:ilvl w:val="0"/>
          <w:numId w:val="2"/>
        </w:numPr>
        <w:spacing w:after="60"/>
      </w:pPr>
      <w:r>
        <w:t xml:space="preserve">Delegation.</w:t>
      </w:r>
    </w:p>
    <w:p>
      <w:pPr>
        <w:pStyle w:val="ListParagraph"/>
        <w:numPr>
          <w:ilvl w:val="0"/>
          <w:numId w:val="2"/>
        </w:numPr>
        <w:spacing w:after="60"/>
      </w:pPr>
      <w:r>
        <w:t xml:space="preserve">Rejection.</w:t>
      </w:r>
    </w:p>
    <w:p>
      <w:pPr>
        <w:pStyle w:val="ListParagraph"/>
        <w:numPr>
          <w:ilvl w:val="0"/>
          <w:numId w:val="2"/>
        </w:numPr>
        <w:spacing w:after="60"/>
      </w:pPr>
      <w:r>
        <w:t xml:space="preserve">Resubmission.</w:t>
      </w:r>
    </w:p>
    <w:p>
      <w:pPr>
        <w:pStyle w:val="ListParagraph"/>
        <w:numPr>
          <w:ilvl w:val="0"/>
          <w:numId w:val="2"/>
        </w:numPr>
        <w:spacing w:after="60"/>
      </w:pPr>
      <w:r>
        <w:t xml:space="preserve">Evidence requirements.</w:t>
      </w:r>
    </w:p>
    <w:p>
      <w:pPr>
        <w:pStyle w:val="ListParagraph"/>
        <w:numPr>
          <w:ilvl w:val="0"/>
          <w:numId w:val="2"/>
        </w:numPr>
        <w:spacing w:after="60"/>
      </w:pPr>
      <w:r>
        <w:t xml:space="preserve">Audit history.</w:t>
      </w:r>
    </w:p>
    <w:p>
      <w:pPr>
        <w:spacing w:after="160"/>
      </w:pPr>
      <w:r>
        <w:rPr>
          <w:b w:val="false"/>
          <w:bCs w:val="false"/>
          <w:i w:val="false"/>
          <w:iCs w:val="false"/>
        </w:rPr>
        <w:t xml:space="preserve">Generic states, revised:</w:t>
      </w:r>
    </w:p>
    <w:p>
      <w:pPr>
        <w:spacing w:after="60"/>
      </w:pPr>
      <w:r>
        <w:rPr>
          <w:b/>
          <w:bCs/>
          <w:color w:val="1E7A34"/>
        </w:rPr>
        <w:t xml:space="preserve">NEW — </w:t>
      </w:r>
      <w:r>
        <w:t xml:space="preserve">Closes Audit Section 17 (Suggested Workflow Change 3): v1 moved directly from Approved to Executed with no defined mechanism connecting them. An explicit Contract Execution (e-signature) state is inserted.</w:t>
      </w:r>
    </w:p>
    <w:p>
      <w:pPr>
        <w:spacing w:after="160"/>
      </w:pPr>
      <w:r>
        <w:rPr>
          <w:i/>
          <w:iCs/>
        </w:rPr>
        <w:t xml:space="preserve">Draft → Submitted → Under Review → Clarification Required → Resubmitted → Approved → Contract Execution (e-signature) → Executed → Closed</w:t>
      </w:r>
    </w:p>
    <w:p>
      <w:pPr>
        <w:spacing w:after="160"/>
      </w:pPr>
      <w:r>
        <w:rPr>
          <w:b w:val="false"/>
          <w:bCs w:val="false"/>
          <w:i w:val="false"/>
          <w:iCs w:val="false"/>
        </w:rPr>
        <w:t xml:space="preserve">Alternative states, unchanged: Rejected, Cancelled, Expired, Superseded.</w:t>
      </w:r>
    </w:p>
    <w:p>
      <w:pPr>
        <w:pStyle w:val="Heading1"/>
        <w:spacing w:after="160" w:before="340"/>
      </w:pPr>
      <w:r>
        <w:t xml:space="preserve">9. Quantity Workflow</w:t>
      </w:r>
    </w:p>
    <w:p>
      <w:pPr>
        <w:spacing w:after="160"/>
      </w:pPr>
      <w:r>
        <w:rPr>
          <w:b w:val="false"/>
          <w:bCs w:val="false"/>
          <w:i w:val="false"/>
          <w:iCs w:val="false"/>
        </w:rPr>
        <w:t xml:space="preserve">Unchanged from v1, with CostCode (Section 5.2) available alongside BudgetLine so quantities can be tracked against a Work Breakdown Structure, not only a budget line.</w:t>
      </w:r>
    </w:p>
    <w:p>
      <w:pPr>
        <w:spacing w:after="160"/>
      </w:pPr>
      <w:r>
        <w:rPr>
          <w:i/>
          <w:iCs/>
        </w:rPr>
        <w:t xml:space="preserve">BIM quantity calculated → supervisor submits independent quantity → if within tolerance, manager approval → if outside tolerance, discrepancy case → explanation and evidence → engineering review → owner approval where threshold requires → final approved quantity</w:t>
      </w:r>
    </w:p>
    <w:p>
      <w:pPr>
        <w:spacing w:after="160"/>
      </w:pPr>
      <w:r>
        <w:rPr>
          <w:b w:val="false"/>
          <w:bCs w:val="false"/>
          <w:i w:val="false"/>
          <w:iCs w:val="false"/>
        </w:rPr>
        <w:t xml:space="preserve">The system stores: calculated quantity, verified quantity, proposed resolution, final approved quantity.</w:t>
      </w:r>
    </w:p>
    <w:p>
      <w:pPr>
        <w:pStyle w:val="Heading1"/>
        <w:spacing w:after="160" w:before="340"/>
      </w:pPr>
      <w:r>
        <w:t xml:space="preserve">10. Change Workflow</w:t>
      </w:r>
    </w:p>
    <w:p>
      <w:pPr>
        <w:spacing w:after="160"/>
      </w:pPr>
      <w:r>
        <w:rPr>
          <w:b w:val="false"/>
          <w:bCs w:val="false"/>
          <w:i w:val="false"/>
          <w:iCs w:val="false"/>
        </w:rPr>
        <w:t xml:space="preserve">Unchanged from v1.</w:t>
      </w:r>
    </w:p>
    <w:p>
      <w:pPr>
        <w:spacing w:after="160"/>
      </w:pPr>
      <w:r>
        <w:rPr>
          <w:i/>
          <w:iCs/>
        </w:rPr>
        <w:t xml:space="preserve">Change request → technical feasibility → structural review → revised drawings → quantity impact → budget impact → procurement impact → contract impact → schedule impact → customer impact → commercial quotation → approvals → controlled implementation → verification → closure</w:t>
      </w:r>
    </w:p>
    <w:p>
      <w:pPr>
        <w:pStyle w:val="Heading1"/>
        <w:spacing w:after="160" w:before="340"/>
      </w:pPr>
      <w:r>
        <w:t xml:space="preserve">11. Vendor Onboarding Workflow</w:t>
      </w:r>
    </w:p>
    <w:p>
      <w:pPr>
        <w:spacing w:after="60"/>
      </w:pPr>
      <w:r>
        <w:rPr>
          <w:b/>
          <w:bCs/>
          <w:color w:val="1E7A34"/>
        </w:rPr>
        <w:t xml:space="preserve">NEW — </w:t>
      </w:r>
      <w:r>
        <w:t xml:space="preserve">Closes Audit Section 11 (High-Priority Improvement 4) and Section 17 (Suggested Workflow Change 1).</w:t>
      </w:r>
    </w:p>
    <w:p>
      <w:pPr>
        <w:spacing w:after="160"/>
      </w:pPr>
      <w:r>
        <w:rPr>
          <w:b w:val="false"/>
          <w:bCs w:val="false"/>
          <w:i w:val="false"/>
          <w:iCs w:val="false"/>
        </w:rPr>
        <w:t xml:space="preserve">A vendor or contractor cannot receive a purchase order until this workflow reaches Active. This was previously assumed to be implied by "Budgets, procurement, vendors, contracts" in Phase 4; it is now an explicit workflow and an explicit Phase 4 line item (Section 24).</w:t>
      </w:r>
    </w:p>
    <w:p>
      <w:pPr>
        <w:spacing w:after="160"/>
      </w:pPr>
      <w:r>
        <w:rPr>
          <w:i/>
          <w:iCs/>
        </w:rPr>
        <w:t xml:space="preserve">Invited → KYC documents submitted → identity and GST/PAN verification → bank account verification → compliance documents (insurance, labour registrations where applicable) → approval → Active</w:t>
      </w:r>
    </w:p>
    <w:p>
      <w:pPr>
        <w:pStyle w:val="Heading1"/>
        <w:spacing w:after="160" w:before="340"/>
      </w:pPr>
      <w:r>
        <w:t xml:space="preserve">12. RFI and NCR Workflow</w:t>
      </w:r>
    </w:p>
    <w:p>
      <w:pPr>
        <w:spacing w:after="60"/>
      </w:pPr>
      <w:r>
        <w:rPr>
          <w:b/>
          <w:bCs/>
          <w:color w:val="1E7A34"/>
        </w:rPr>
        <w:t xml:space="preserve">NEW — </w:t>
      </w:r>
      <w:r>
        <w:t xml:space="preserve">Closes Audit Section 9 (Missing Module 4), Section 12 (Medium-Priority Improvement 1), and Section 17 (Suggested Workflow Change 2).</w:t>
      </w:r>
    </w:p>
    <w:p>
      <w:pPr>
        <w:spacing w:after="160"/>
      </w:pPr>
      <w:r>
        <w:rPr>
          <w:b w:val="false"/>
          <w:bCs w:val="false"/>
          <w:i w:val="false"/>
          <w:iCs w:val="false"/>
        </w:rPr>
        <w:t xml:space="preserve">v1 folded both into a generic "discrepancy case" used for quantity variances. RFI and NCR are functionally different — one is a question that blocks progress until answered, the other is a defect that requires a corrective action — and are now modeled separately, each with SLA tracking.</w:t>
      </w:r>
    </w:p>
    <w:p>
      <w:pPr>
        <w:spacing w:after="120"/>
      </w:pPr>
      <w:r>
        <w:rPr>
          <w:b/>
          <w:bCs/>
        </w:rPr>
        <w:t xml:space="preserve">RFI flow: </w:t>
      </w:r>
      <w:r>
        <w:t xml:space="preserve">Raised on site → routed to design/engineering → response → closure, with SLA tracking against a target response time.</w:t>
      </w:r>
    </w:p>
    <w:p>
      <w:pPr>
        <w:spacing w:after="120"/>
      </w:pPr>
      <w:r>
        <w:rPr>
          <w:b/>
          <w:bCs/>
        </w:rPr>
        <w:t xml:space="preserve">NCR flow: </w:t>
      </w:r>
      <w:r>
        <w:t xml:space="preserve">Raised at inspection or during construction → classified by severity → corrective action assigned → re-inspection → closure, linked to the originating Inspection record.</w:t>
      </w:r>
    </w:p>
    <w:p>
      <w:pPr>
        <w:pStyle w:val="Heading1"/>
        <w:spacing w:after="160" w:before="340"/>
      </w:pPr>
      <w:r>
        <w:t xml:space="preserve">13. Document Engine</w:t>
      </w:r>
    </w:p>
    <w:p>
      <w:pPr>
        <w:spacing w:after="160"/>
      </w:pPr>
      <w:r>
        <w:rPr>
          <w:b w:val="false"/>
          <w:bCs w:val="false"/>
          <w:i w:val="false"/>
          <w:iCs w:val="false"/>
        </w:rPr>
        <w:t xml:space="preserve">Unchanged from v1, with one linkage: the Contract Execution state (Section 8) now has a defined mechanism — the e-signature integration described in Section 4.2 — connecting Approved documents to a legally executed Contract.</w:t>
      </w:r>
    </w:p>
    <w:p>
      <w:pPr>
        <w:spacing w:after="160"/>
      </w:pPr>
      <w:r>
        <w:rPr>
          <w:i/>
          <w:iCs/>
        </w:rPr>
        <w:t xml:space="preserve">Uploaded → virus scanned → classified → metadata verified → reviewed → approved → issued → superseded → archived</w:t>
      </w:r>
    </w:p>
    <w:p>
      <w:pPr>
        <w:spacing w:after="160"/>
      </w:pPr>
      <w:r>
        <w:rPr>
          <w:b w:val="false"/>
          <w:bCs w:val="false"/>
          <w:i w:val="false"/>
          <w:iCs w:val="false"/>
        </w:rPr>
        <w:t xml:space="preserve">Every revision preserves: Project, Building, Floor, Unit, Discipline, Drawing number, Revision code, Issue purpose, Issue date, Author, Reviewer, Approver, Superseded version, Related change request.</w:t>
      </w:r>
    </w:p>
    <w:p>
      <w:pPr>
        <w:spacing w:after="160"/>
      </w:pPr>
      <w:r>
        <w:rPr>
          <w:b w:val="false"/>
          <w:bCs w:val="false"/>
          <w:i w:val="false"/>
          <w:iCs w:val="false"/>
        </w:rPr>
        <w:t xml:space="preserve">Ordinary users receive controlled browser previews with expiring access, plus the anti-leakage controls described in Section 16.</w:t>
      </w:r>
    </w:p>
    <w:p>
      <w:pPr>
        <w:pStyle w:val="Heading1"/>
        <w:spacing w:after="160" w:before="340"/>
      </w:pPr>
      <w:r>
        <w:t xml:space="preserve">14. BIM Integration</w:t>
      </w:r>
    </w:p>
    <w:p>
      <w:pPr>
        <w:spacing w:after="160"/>
      </w:pPr>
      <w:r>
        <w:rPr>
          <w:b w:val="false"/>
          <w:bCs w:val="false"/>
          <w:i w:val="false"/>
          <w:iCs w:val="false"/>
        </w:rPr>
        <w:t xml:space="preserve">Unchanged from v1.</w:t>
      </w:r>
    </w:p>
    <w:p>
      <w:pPr>
        <w:spacing w:after="160"/>
      </w:pPr>
      <w:r>
        <w:rPr>
          <w:i/>
          <w:iCs/>
        </w:rPr>
        <w:t xml:space="preserve">Revit source → approved export → IFC, schedules, and quantity tables → validation → ERP import</w:t>
      </w:r>
    </w:p>
    <w:p>
      <w:pPr>
        <w:spacing w:after="160"/>
      </w:pPr>
      <w:r>
        <w:rPr>
          <w:b w:val="false"/>
          <w:bCs w:val="false"/>
          <w:i w:val="false"/>
          <w:iCs w:val="false"/>
        </w:rPr>
        <w:t xml:space="preserve">BIM objects map to: Project, Building, Floor, Unit, Room, Work package, Material, BOQ line, Asset, Quantity record. Automatically generated quantities remain provisional until verified.</w:t>
      </w:r>
    </w:p>
    <w:p>
      <w:pPr>
        <w:pStyle w:val="Heading1"/>
        <w:spacing w:after="160" w:before="340"/>
      </w:pPr>
      <w:r>
        <w:t xml:space="preserve">15. Security Model</w:t>
      </w:r>
    </w:p>
    <w:p>
      <w:pPr>
        <w:spacing w:after="160"/>
      </w:pPr>
      <w:r>
        <w:rPr>
          <w:b w:val="false"/>
          <w:bCs w:val="false"/>
          <w:i w:val="false"/>
          <w:iCs w:val="false"/>
        </w:rPr>
        <w:t xml:space="preserve">v1's identity design — passkeys, registered devices, biometric or device PIN, owner-approved enrollment, short-lived sessions, step-up authentication — was independently rated the strongest part of the security posture. It stands unchanged. The gaps the audit found are at the network edge, in key management, and in incident response.</w:t>
      </w:r>
    </w:p>
    <w:p>
      <w:pPr>
        <w:spacing w:after="160"/>
      </w:pPr>
      <w:r>
        <w:rPr>
          <w:b w:val="false"/>
          <w:bCs w:val="false"/>
          <w:i w:val="false"/>
          <w:iCs w:val="false"/>
        </w:rPr>
        <w:t xml:space="preserve">Every request is still checked against: user, role, legal entity, project, module, object classification, action, device trust, session risk.</w:t>
      </w:r>
    </w:p>
    <w:p>
      <w:pPr>
        <w:spacing w:after="160"/>
      </w:pPr>
      <w:r>
        <w:rPr>
          <w:b w:val="false"/>
          <w:bCs w:val="false"/>
          <w:i w:val="false"/>
          <w:iCs w:val="false"/>
        </w:rPr>
        <w:t xml:space="preserve">Sensitive actions requiring stronger approval, unchanged: contract approval, payment approval, bank-detail changes, vendor-master changes, customer-price overrides, document downloads, user-role modifications, device enrollment, audit exports, backup restoration.</w:t>
      </w:r>
    </w:p>
    <w:p>
      <w:pPr>
        <w:pStyle w:val="Heading2"/>
        <w:spacing w:after="120" w:before="260"/>
      </w:pPr>
      <w:r>
        <w:t xml:space="preserve">15.1 Additions</w:t>
      </w:r>
    </w:p>
    <w:p>
      <w:pPr>
        <w:spacing w:after="60"/>
      </w:pPr>
      <w:r>
        <w:rPr>
          <w:b/>
          <w:bCs/>
          <w:color w:val="1E7A34"/>
        </w:rPr>
        <w:t xml:space="preserve">NEW — </w:t>
      </w:r>
      <w:r>
        <w:t xml:space="preserve">Closes Audit Section 11 (High-Priority Improvement 2), Section 18 (Suggested Security Improvements), and Section 10 (Critical Risk 2).</w:t>
      </w:r>
    </w:p>
    <w:p>
      <w:pPr>
        <w:pStyle w:val="ListParagraph"/>
        <w:numPr>
          <w:ilvl w:val="0"/>
          <w:numId w:val="2"/>
        </w:numPr>
        <w:spacing w:after="60"/>
      </w:pPr>
      <w:r>
        <w:t xml:space="preserve">Key management via KMS/HSM — detailed in Section 3.3 — rather than encryption being assumed.</w:t>
      </w:r>
    </w:p>
    <w:p>
      <w:pPr>
        <w:pStyle w:val="ListParagraph"/>
        <w:numPr>
          <w:ilvl w:val="0"/>
          <w:numId w:val="2"/>
        </w:numPr>
        <w:spacing w:after="60"/>
      </w:pPr>
      <w:r>
        <w:t xml:space="preserve">WAF (Web Application Firewall) and rate limiting at the access gateway, in addition to identity and device-trust checks.</w:t>
      </w:r>
    </w:p>
    <w:p>
      <w:pPr>
        <w:pStyle w:val="ListParagraph"/>
        <w:numPr>
          <w:ilvl w:val="0"/>
          <w:numId w:val="2"/>
        </w:numPr>
        <w:spacing w:after="60"/>
      </w:pPr>
      <w:r>
        <w:t xml:space="preserve">A written incident-response runbook: who is notified, what is contained, how customers and authorities are informed if required. This is a Phase 0 deliverable, not written after an incident occurs.</w:t>
      </w:r>
    </w:p>
    <w:p>
      <w:pPr>
        <w:pStyle w:val="ListParagraph"/>
        <w:numPr>
          <w:ilvl w:val="0"/>
          <w:numId w:val="2"/>
        </w:numPr>
        <w:spacing w:after="60"/>
      </w:pPr>
      <w:r>
        <w:t xml:space="preserve">A concrete anti-leakage mechanism beyond static watermarking — session-bound dynamic watermarks (user, timestamp, IP embedded per view) and restricted printing — since a static watermark does not stop a photographed screen.</w:t>
      </w:r>
    </w:p>
    <w:p>
      <w:pPr>
        <w:pStyle w:val="ListParagraph"/>
        <w:numPr>
          <w:ilvl w:val="0"/>
          <w:numId w:val="2"/>
        </w:numPr>
        <w:spacing w:after="60"/>
      </w:pPr>
      <w:r>
        <w:t xml:space="preserve">A dedicated secrets manager (Vault or a cloud-native equivalent) in place of configuration-file secrets.</w:t>
      </w:r>
    </w:p>
    <w:p>
      <w:pPr>
        <w:pStyle w:val="Heading1"/>
        <w:spacing w:after="160" w:before="340"/>
      </w:pPr>
      <w:r>
        <w:t>16. External Ledger and ERPNext Integration</w:t>
      </w:r>
    </w:p>
    <w:p>
      <w:pPr>
        <w:spacing w:after="160"/>
      </w:pPr>
      <w:r>
        <w:rPr>
          <w:b w:val="false"/>
          <w:bCs w:val="false"/>
          <w:i w:val="false"/>
          <w:iCs w:val="false"/>
        </w:rPr>
        <w:t xml:space="preserve">Unchanged from v1.</w:t>
      </w:r>
    </w:p>
    <w:p>
      <w:pPr>
        <w:spacing w:after="160"/>
      </w:pPr>
      <w:r>
        <w:t>Authoritative boundaries: statutory books, submitted accounting documents, and financial statements in ERPNext; identity, scoped authorization, operational commitments, approvals, controlled evidence, mappings, reconciliation status, and hash-chained audit in Atlas. ERPNext/Frappe is a separate deployable and Atlas never writes its MariaDB tables directly.</w:t>
      </w:r>
    </w:p>
    <w:p>
      <w:pPr>
        <w:spacing w:after="160"/>
      </w:pPr>
      <w:r>
        <w:t>ERPNext API or controlled export → digest-addressed Ledger Sync Batch → schema and completeness validation → approved company/account/project/tax mappings → normalized External Vouchers → deterministic matching → discrepancy detection → independent accountant review → reconciliation. Initial integration is read-only; future posting requires a durable outbox, immutable receipt, stable idempotency key, maker-checker approval, step-up policy, and explicit production authorization.</w:t>
      </w:r>
    </w:p>
    <w:p>
      <w:pPr>
        <w:spacing w:after="160"/>
      </w:pPr>
      <w:r>
        <w:t>Examples of discrepancies: Atlas commitment missing in the External Ledger, ERPNext voucher missing in Atlas, amount mismatch, wrong legal entity, wrong project allocation, duplicate voucher, customer receipt not allocated, EMI posted but schedule not updated, or authority fee paid while the Atlas obligation remains open. Raw provider payloads, narration, credentials, bank data, tax identifiers, and personal information are excluded from logs and audit events.</w:t>
      </w:r>
    </w:p>
    <w:p>
      <w:pPr>
        <w:pStyle w:val="Heading1"/>
        <w:spacing w:after="160" w:before="340"/>
      </w:pPr>
      <w:r>
        <w:t xml:space="preserve">17. AI Architecture</w:t>
      </w:r>
    </w:p>
    <w:p>
      <w:pPr>
        <w:spacing w:after="160"/>
      </w:pPr>
      <w:r>
        <w:rPr>
          <w:b w:val="false"/>
          <w:bCs w:val="false"/>
          <w:i w:val="false"/>
          <w:iCs w:val="false"/>
        </w:rPr>
        <w:t xml:space="preserve">The four-level authority model (Information, Drafting, Recommendations, Workflow Assistance) and the list of actions the AI may never take are unchanged — the audit rated this above-average governance design. What was undefined is the hosting decision underneath it, and the absence of adversarial testing.</w:t>
      </w:r>
    </w:p>
    <w:p>
      <w:pPr>
        <w:spacing w:after="160"/>
      </w:pPr>
      <w:r>
        <w:rPr>
          <w:b w:val="false"/>
          <w:bCs w:val="false"/>
          <w:i w:val="false"/>
          <w:iCs w:val="false"/>
        </w:rPr>
        <w:t xml:space="preserve">AI may: answer questions, summarize project status, compare vendors, draft agreements, draft communication tasks, identify missing documents, recommend actions, calculate scenarios, propose tasks, explain risks, flag anomalies.</w:t>
      </w:r>
    </w:p>
    <w:p>
      <w:pPr>
        <w:spacing w:after="160"/>
      </w:pPr>
      <w:r>
        <w:rPr>
          <w:b w:val="false"/>
          <w:bCs w:val="false"/>
          <w:i w:val="false"/>
          <w:iCs w:val="false"/>
        </w:rPr>
        <w:t xml:space="preserve">AI may not: approve contracts, release payments, send messages, modify final budgets, finalize quantities, change drawings, alter permissions, approve devices, sign documents, delete records.</w:t>
      </w:r>
    </w:p>
    <w:p>
      <w:pPr>
        <w:spacing w:after="160"/>
      </w:pPr>
      <w:r>
        <w:rPr>
          <w:i/>
          <w:iCs/>
        </w:rPr>
        <w:t xml:space="preserve">User query → access-policy check → intent classification → authorized retrieval → context builder → model inference → evidence assembly → response → optional proposed task → human approval</w:t>
      </w:r>
    </w:p>
    <w:p>
      <w:pPr>
        <w:spacing w:after="160"/>
      </w:pPr>
      <w:r>
        <w:rPr>
          <w:b w:val="false"/>
          <w:bCs w:val="false"/>
          <w:i w:val="false"/>
          <w:iCs w:val="false"/>
        </w:rPr>
        <w:t xml:space="preserve">AI responses include: recommendation, reason, supporting records, assumptions, financial impact, schedule impact, risk level, confidence, required approver.</w:t>
      </w:r>
    </w:p>
    <w:p>
      <w:pPr>
        <w:pStyle w:val="Heading2"/>
        <w:spacing w:after="120" w:before="260"/>
      </w:pPr>
      <w:r>
        <w:t xml:space="preserve">17.1 Additions</w:t>
      </w:r>
    </w:p>
    <w:p>
      <w:pPr>
        <w:spacing w:after="60"/>
      </w:pPr>
      <w:r>
        <w:rPr>
          <w:b/>
          <w:bCs/>
          <w:color w:val="1E7A34"/>
        </w:rPr>
        <w:t xml:space="preserve">NEW — </w:t>
      </w:r>
      <w:r>
        <w:t xml:space="preserve">Closes Audit Section 10 (Critical Risk 3), Section 11 (High-Priority Improvement 3), and Section 19 (Suggested AI Improvements).</w:t>
      </w:r>
    </w:p>
    <w:p>
      <w:pPr>
        <w:pStyle w:val="ListParagraph"/>
        <w:numPr>
          <w:ilvl w:val="0"/>
          <w:numId w:val="2"/>
        </w:numPr>
        <w:spacing w:after="60"/>
      </w:pPr>
      <w:r>
        <w:t xml:space="preserve">Explicit model-hosting decision required before Phase 11 design proceeds: self-hosted open-weight model (keeps the platform's "private by default" principle intact end to end), or a commercial API under an enterprise zero-retention Data Processing Agreement. Using a third-party API without that agreement contradicts the platform's core principle and is treated as a blocking decision, not a default. Tracked as an open decision in Section 25 and a Phase 0.5 deliverable.</w:t>
      </w:r>
    </w:p>
    <w:p>
      <w:pPr>
        <w:pStyle w:val="ListParagraph"/>
        <w:numPr>
          <w:ilvl w:val="0"/>
          <w:numId w:val="2"/>
        </w:numPr>
        <w:spacing w:after="60"/>
      </w:pPr>
      <w:r>
        <w:t xml:space="preserve">Prompt-injection defenses added before the AI is permitted to read uploaded contracts, drawings metadata, or external email content — input sanitization and instruction-boundary enforcement at the context-builder stage.</w:t>
      </w:r>
    </w:p>
    <w:p>
      <w:pPr>
        <w:pStyle w:val="ListParagraph"/>
        <w:numPr>
          <w:ilvl w:val="0"/>
          <w:numId w:val="2"/>
        </w:numPr>
        <w:spacing w:after="60"/>
      </w:pPr>
      <w:r>
        <w:t xml:space="preserve">A minimum confidence threshold below which the AI must decline to recommend rather than guess, extending the existing reasoning/confidence/required-approver design.</w:t>
      </w:r>
    </w:p>
    <w:p>
      <w:pPr>
        <w:pStyle w:val="ListParagraph"/>
        <w:numPr>
          <w:ilvl w:val="0"/>
          <w:numId w:val="2"/>
        </w:numPr>
        <w:spacing w:after="60"/>
      </w:pPr>
      <w:r>
        <w:t xml:space="preserve">A red-team exercise on the Level 1–4 authority boundaries before Phase 11 ships — specifically testing whether chained drafting or recommendation actions can be combined to produce an unapproved effect.</w:t>
      </w:r>
    </w:p>
    <w:p>
      <w:pPr>
        <w:pStyle w:val="Heading1"/>
        <w:spacing w:after="160" w:before="340"/>
      </w:pPr>
      <w:r>
        <w:t xml:space="preserve">18. Event &amp; Notification Architecture</w:t>
      </w:r>
    </w:p>
    <w:p>
      <w:pPr>
        <w:spacing w:after="60"/>
      </w:pPr>
      <w:r>
        <w:rPr>
          <w:b/>
          <w:bCs/>
          <w:color w:val="1E7A34"/>
        </w:rPr>
        <w:t xml:space="preserve">NEW — </w:t>
      </w:r>
      <w:r>
        <w:t xml:space="preserve">Closes Audit Section 9 (Missing Module 8) and Section 12 (Medium-Priority Improvement 2).</w:t>
      </w:r>
    </w:p>
    <w:p>
      <w:pPr>
        <w:spacing w:after="160"/>
      </w:pPr>
      <w:r>
        <w:rPr>
          <w:b w:val="false"/>
          <w:bCs w:val="false"/>
          <w:i w:val="false"/>
          <w:iCs w:val="false"/>
        </w:rPr>
        <w:t xml:space="preserve">v1's service architecture never named a pub-sub or message layer; modules communicated implicitly through shared tables. This is formalized as its own layer:</w:t>
      </w:r>
    </w:p>
    <w:p>
      <w:pPr>
        <w:pStyle w:val="ListParagraph"/>
        <w:numPr>
          <w:ilvl w:val="0"/>
          <w:numId w:val="2"/>
        </w:numPr>
        <w:spacing w:after="60"/>
      </w:pPr>
      <w:r>
        <w:t xml:space="preserve">At current single-server scale: Postgres LISTEN/NOTIFY, consumed by the Notifications module and the audit/reporting subscribers described in Section 7.</w:t>
      </w:r>
    </w:p>
    <w:p>
      <w:pPr>
        <w:pStyle w:val="ListParagraph"/>
        <w:numPr>
          <w:ilvl w:val="0"/>
          <w:numId w:val="2"/>
        </w:numPr>
        <w:spacing w:after="60"/>
      </w:pPr>
      <w:r>
        <w:t xml:space="preserve">Upgrade path once the group operates across multiple cities or the transaction volume in Section 6 grows: a dedicated broker (NATS or Redis Streams).</w:t>
      </w:r>
    </w:p>
    <w:p>
      <w:pPr>
        <w:pStyle w:val="ListParagraph"/>
        <w:numPr>
          <w:ilvl w:val="0"/>
          <w:numId w:val="2"/>
        </w:numPr>
        <w:spacing w:after="60"/>
      </w:pPr>
      <w:r>
        <w:t xml:space="preserve">Every workflow state change (Section 8) publishes a NotificationEvent; downstream consumers (in-app notification, email/SMS reminder, audit log, reporting refresh) subscribe rather than being called directly by the originating module — this is what removes the tight coupling the audit flagged.</w:t>
      </w:r>
    </w:p>
    <w:p>
      <w:pPr>
        <w:pStyle w:val="Heading1"/>
        <w:spacing w:after="160" w:before="340"/>
      </w:pPr>
      <w:r>
        <w:t xml:space="preserve">19. Reporting &amp; Analytics Architecture</w:t>
      </w:r>
    </w:p>
    <w:p>
      <w:pPr>
        <w:spacing w:after="60"/>
      </w:pPr>
      <w:r>
        <w:rPr>
          <w:b/>
          <w:bCs/>
          <w:color w:val="1E7A34"/>
        </w:rPr>
        <w:t xml:space="preserve">NEW — </w:t>
      </w:r>
      <w:r>
        <w:t xml:space="preserve">Closes Audit Section 9 (Missing Module 9) and Section 21 (Suggested Reporting Improvements).</w:t>
      </w:r>
    </w:p>
    <w:p>
      <w:pPr>
        <w:pStyle w:val="ListParagraph"/>
        <w:numPr>
          <w:ilvl w:val="0"/>
          <w:numId w:val="2"/>
        </w:numPr>
        <w:spacing w:after="60"/>
      </w:pPr>
      <w:r>
        <w:t xml:space="preserve">A reporting/analytics store separated from the transactional database — at minimum a logical-replication read replica — so CEO-dashboard and analytics queries cannot degrade operational write performance.</w:t>
      </w:r>
    </w:p>
    <w:p>
      <w:pPr>
        <w:pStyle w:val="ListParagraph"/>
        <w:numPr>
          <w:ilvl w:val="0"/>
          <w:numId w:val="2"/>
        </w:numPr>
        <w:spacing w:after="60"/>
      </w:pPr>
      <w:r>
        <w:t xml:space="preserve">A report scheduler with export to PDF/Excel.</w:t>
      </w:r>
    </w:p>
    <w:p>
      <w:pPr>
        <w:pStyle w:val="ListParagraph"/>
        <w:numPr>
          <w:ilvl w:val="0"/>
          <w:numId w:val="2"/>
        </w:numPr>
        <w:spacing w:after="60"/>
      </w:pPr>
      <w:r>
        <w:t xml:space="preserve">An audit trail of who generated which report and when, consistent with the platform's evidence-backed-operations principle.</w:t>
      </w:r>
    </w:p>
    <w:p>
      <w:pPr>
        <w:pStyle w:val="Heading1"/>
        <w:spacing w:after="160" w:before="340"/>
      </w:pPr>
      <w:r>
        <w:t xml:space="preserve">20. CEO Dashboard</w:t>
      </w:r>
    </w:p>
    <w:p>
      <w:pPr>
        <w:spacing w:after="160"/>
      </w:pPr>
      <w:r>
        <w:rPr>
          <w:b w:val="false"/>
          <w:bCs w:val="false"/>
          <w:i w:val="false"/>
          <w:iCs w:val="false"/>
        </w:rPr>
        <w:t xml:space="preserve">v1's dashboard content stands: cash position; 7-, 30-, and 90-day cash requirements; receivables; payables; debt; EMIs; authority installments; project margin; unsold inventory; delayed activities; budget overruns; quantity mismatches; failed inspections; overdue customer collections; compliance risks; pending decisions. Each decision item still shows: decision required, why now, financial impact, schedule impact, risk if delayed, supporting documents, responsible team, approval options.</w:t>
      </w:r>
    </w:p>
    <w:p>
      <w:pPr>
        <w:pStyle w:val="Heading2"/>
        <w:spacing w:after="120" w:before="260"/>
      </w:pPr>
      <w:r>
        <w:t xml:space="preserve">20.1 Additions</w:t>
      </w:r>
    </w:p>
    <w:p>
      <w:pPr>
        <w:spacing w:after="60"/>
      </w:pPr>
      <w:r>
        <w:rPr>
          <w:b/>
          <w:bCs/>
          <w:color w:val="1E7A34"/>
        </w:rPr>
        <w:t xml:space="preserve">NEW — </w:t>
      </w:r>
      <w:r>
        <w:t xml:space="preserve">Closes Audit Section 22 (Suggested CEO Dashboard Enhancements).</w:t>
      </w:r>
    </w:p>
    <w:p>
      <w:pPr>
        <w:pStyle w:val="ListParagraph"/>
        <w:numPr>
          <w:ilvl w:val="0"/>
          <w:numId w:val="2"/>
        </w:numPr>
        <w:spacing w:after="60"/>
      </w:pPr>
      <w:r>
        <w:t xml:space="preserve">Contractor performance scorecards (on-time completion, quality-inspection pass rate).</w:t>
      </w:r>
    </w:p>
    <w:p>
      <w:pPr>
        <w:pStyle w:val="ListParagraph"/>
        <w:numPr>
          <w:ilvl w:val="0"/>
          <w:numId w:val="2"/>
        </w:numPr>
        <w:spacing w:after="60"/>
      </w:pPr>
      <w:r>
        <w:t xml:space="preserve">Sales velocity and inventory aging.</w:t>
      </w:r>
    </w:p>
    <w:p>
      <w:pPr>
        <w:pStyle w:val="ListParagraph"/>
        <w:numPr>
          <w:ilvl w:val="0"/>
          <w:numId w:val="2"/>
        </w:numPr>
        <w:spacing w:after="60"/>
      </w:pPr>
      <w:r>
        <w:t xml:space="preserve">Customer satisfaction / NPS from the possession and handover process.</w:t>
      </w:r>
    </w:p>
    <w:p>
      <w:pPr>
        <w:pStyle w:val="ListParagraph"/>
        <w:numPr>
          <w:ilvl w:val="0"/>
          <w:numId w:val="2"/>
        </w:numPr>
        <w:spacing w:after="60"/>
      </w:pPr>
      <w:r>
        <w:t xml:space="preserve">Approval-bottleneck aging — how long items have sat pending approval, by approver.</w:t>
      </w:r>
    </w:p>
    <w:p>
      <w:pPr>
        <w:pStyle w:val="ListParagraph"/>
        <w:numPr>
          <w:ilvl w:val="0"/>
          <w:numId w:val="2"/>
        </w:numPr>
        <w:spacing w:after="60"/>
      </w:pPr>
      <w:r>
        <w:t xml:space="preserve">A combined risk heatmap blending schedule slippage, budget overrun, and quality-inspection failure signals into a single view.</w:t>
      </w:r>
    </w:p>
    <w:p>
      <w:pPr>
        <w:pStyle w:val="Heading1"/>
        <w:spacing w:after="160" w:before="340"/>
      </w:pPr>
      <w:r>
        <w:t xml:space="preserve">21. Non-Functional Requirements</w:t>
      </w:r>
    </w:p>
    <w:p>
      <w:pPr>
        <w:spacing w:after="160"/>
      </w:pPr>
      <w:r>
        <w:rPr>
          <w:b w:val="false"/>
          <w:bCs w:val="false"/>
          <w:i w:val="false"/>
          <w:iCs w:val="false"/>
        </w:rPr>
        <w:t xml:space="preserve">v1's qualities stand, with the DR targets from Section 3.2 made explicit rather than aspirational:</w:t>
      </w:r>
    </w:p>
    <w:p>
      <w:pPr>
        <w:pStyle w:val="ListParagraph"/>
        <w:numPr>
          <w:ilvl w:val="0"/>
          <w:numId w:val="2"/>
        </w:numPr>
        <w:spacing w:after="60"/>
      </w:pPr>
      <w:r>
        <w:t xml:space="preserve">Strong confidentiality.</w:t>
      </w:r>
    </w:p>
    <w:p>
      <w:pPr>
        <w:pStyle w:val="ListParagraph"/>
        <w:numPr>
          <w:ilvl w:val="0"/>
          <w:numId w:val="2"/>
        </w:numPr>
        <w:spacing w:after="60"/>
      </w:pPr>
      <w:r>
        <w:t xml:space="preserve">High auditability.</w:t>
      </w:r>
    </w:p>
    <w:p>
      <w:pPr>
        <w:pStyle w:val="ListParagraph"/>
        <w:numPr>
          <w:ilvl w:val="0"/>
          <w:numId w:val="2"/>
        </w:numPr>
        <w:spacing w:after="60"/>
      </w:pPr>
      <w:r>
        <w:t xml:space="preserve">Graceful recovery after power failure.</w:t>
      </w:r>
    </w:p>
    <w:p>
      <w:pPr>
        <w:pStyle w:val="ListParagraph"/>
        <w:numPr>
          <w:ilvl w:val="0"/>
          <w:numId w:val="2"/>
        </w:numPr>
        <w:spacing w:after="60"/>
      </w:pPr>
      <w:r>
        <w:t xml:space="preserve">Automated backups.</w:t>
      </w:r>
    </w:p>
    <w:p>
      <w:pPr>
        <w:pStyle w:val="ListParagraph"/>
        <w:numPr>
          <w:ilvl w:val="0"/>
          <w:numId w:val="2"/>
        </w:numPr>
        <w:spacing w:after="60"/>
      </w:pPr>
      <w:r>
        <w:t xml:space="preserve">Responsive core screens.</w:t>
      </w:r>
    </w:p>
    <w:p>
      <w:pPr>
        <w:pStyle w:val="ListParagraph"/>
        <w:numPr>
          <w:ilvl w:val="0"/>
          <w:numId w:val="2"/>
        </w:numPr>
        <w:spacing w:after="60"/>
      </w:pPr>
      <w:r>
        <w:t xml:space="preserve">Asynchronous document and BIM processing.</w:t>
      </w:r>
    </w:p>
    <w:p>
      <w:pPr>
        <w:pStyle w:val="ListParagraph"/>
        <w:numPr>
          <w:ilvl w:val="0"/>
          <w:numId w:val="2"/>
        </w:numPr>
        <w:spacing w:after="60"/>
      </w:pPr>
      <w:r>
        <w:t xml:space="preserve">Long-term scalability.</w:t>
      </w:r>
    </w:p>
    <w:p>
      <w:pPr>
        <w:pStyle w:val="ListParagraph"/>
        <w:numPr>
          <w:ilvl w:val="0"/>
          <w:numId w:val="2"/>
        </w:numPr>
        <w:spacing w:after="60"/>
      </w:pPr>
      <w:r>
        <w:t xml:space="preserve">Encrypted backup copies.</w:t>
      </w:r>
    </w:p>
    <w:p>
      <w:pPr>
        <w:pStyle w:val="ListParagraph"/>
        <w:numPr>
          <w:ilvl w:val="0"/>
          <w:numId w:val="2"/>
        </w:numPr>
        <w:spacing w:after="60"/>
      </w:pPr>
      <w:r>
        <w:t xml:space="preserve">Periodic recovery testing — now defined as a quarterly restore drill (Section 3.2).</w:t>
      </w:r>
    </w:p>
    <w:p>
      <w:pPr>
        <w:spacing w:after="60"/>
      </w:pPr>
      <w:r>
        <w:rPr>
          <w:b/>
          <w:bCs/>
          <w:color w:val="1E7A34"/>
        </w:rPr>
        <w:t xml:space="preserve">NEW — </w:t>
      </w:r>
      <w:r>
        <w:t xml:space="preserve">Explicit RTO of 4 hours and RPO of 15 minutes (transactional) / 24 hours (documents), pending owner confirmation — see Section 3.2 and Section 25.</w:t>
      </w:r>
    </w:p>
    <w:p>
      <w:pPr>
        <w:pStyle w:val="Heading1"/>
        <w:spacing w:after="160" w:before="340"/>
      </w:pPr>
      <w:r>
        <w:t xml:space="preserve">22. Testing, CI/CD &amp; Environment Strategy</w:t>
      </w:r>
    </w:p>
    <w:p>
      <w:pPr>
        <w:spacing w:after="60"/>
      </w:pPr>
      <w:r>
        <w:rPr>
          <w:b/>
          <w:bCs/>
          <w:color w:val="1E7A34"/>
        </w:rPr>
        <w:t xml:space="preserve">NEW — </w:t>
      </w:r>
      <w:r>
        <w:t xml:space="preserve">Closes Audit Section 14 (Technical Debt Assessment) and Section 12 (Medium-Priority Improvement 4).</w:t>
      </w:r>
    </w:p>
    <w:p>
      <w:pPr>
        <w:spacing w:after="160"/>
      </w:pPr>
      <w:r>
        <w:rPr>
          <w:b w:val="false"/>
          <w:bCs w:val="false"/>
          <w:i w:val="false"/>
          <w:iCs w:val="false"/>
        </w:rPr>
        <w:t xml:space="preserve">The audit's technical-debt finding was specific: debt is currently zero because nothing has been built, but the plan's silence on testing, CI/CD, and internal module API contracts will generate debt quickly once Budget, Procurement, and Contracts begin interacting under real data volume around Phase 4–5. This is now a Phase 0 deliverable rather than a retrofit.</w:t>
      </w:r>
    </w:p>
    <w:p>
      <w:pPr>
        <w:pStyle w:val="ListParagraph"/>
        <w:numPr>
          <w:ilvl w:val="0"/>
          <w:numId w:val="2"/>
        </w:numPr>
        <w:spacing w:after="60"/>
      </w:pPr>
      <w:r>
        <w:t xml:space="preserve">Internal module API contracts defined before implementation begins — each module (Section 7) exposes a documented interface; other modules integrate against that interface, not against internal tables.</w:t>
      </w:r>
    </w:p>
    <w:p>
      <w:pPr>
        <w:pStyle w:val="ListParagraph"/>
        <w:numPr>
          <w:ilvl w:val="0"/>
          <w:numId w:val="2"/>
        </w:numPr>
        <w:spacing w:after="60"/>
      </w:pPr>
      <w:r>
        <w:t xml:space="preserve">A minimum automated-testing baseline: unit tests for business logic in every module, integration tests for cross-module workflows (quantity, change, vendor onboarding), required to pass before merge.</w:t>
      </w:r>
    </w:p>
    <w:p>
      <w:pPr>
        <w:pStyle w:val="ListParagraph"/>
        <w:numPr>
          <w:ilvl w:val="0"/>
          <w:numId w:val="2"/>
        </w:numPr>
        <w:spacing w:after="60"/>
      </w:pPr>
      <w:r>
        <w:t xml:space="preserve">A CI/CD pipeline and a staging/UAT environment stood up before Phase 1 implementation starts, not introduced later.</w:t>
      </w:r>
    </w:p>
    <w:p>
      <w:pPr>
        <w:pStyle w:val="ListParagraph"/>
        <w:numPr>
          <w:ilvl w:val="0"/>
          <w:numId w:val="2"/>
        </w:numPr>
        <w:spacing w:after="60"/>
      </w:pPr>
      <w:r>
        <w:t xml:space="preserve">This baseline is scoped in Phase 0 (Section 24) and is one of the two structural conditions — alongside the infrastructure items in Section 3 — that the audit's Final Verdict treats as mandatory before Phase 0 discovery is considered closed.</w:t>
      </w:r>
    </w:p>
    <w:p>
      <w:pPr>
        <w:pStyle w:val="Heading1"/>
        <w:spacing w:after="160" w:before="340"/>
      </w:pPr>
      <w:r>
        <w:t xml:space="preserve">23. Deferred Items</w:t>
      </w:r>
    </w:p>
    <w:p>
      <w:pPr>
        <w:spacing w:after="160"/>
      </w:pPr>
      <w:r>
        <w:rPr>
          <w:b w:val="false"/>
          <w:bCs w:val="false"/>
          <w:i w:val="false"/>
          <w:iCs w:val="false"/>
        </w:rPr>
        <w:t xml:space="preserve">The audit also flagged three low-priority items. These are deliberately not pulled forward — pulling in scope the business does not need yet is the same mistake as leaving out scope it does need.</w:t>
      </w:r>
    </w:p>
    <w:p>
      <w:pPr>
        <w:pStyle w:val="ListParagraph"/>
        <w:numPr>
          <w:ilvl w:val="0"/>
          <w:numId w:val="2"/>
        </w:numPr>
        <w:spacing w:after="60"/>
      </w:pPr>
      <w:r>
        <w:t xml:space="preserve">Multi-language support — not required while operations are India-only; defer.</w:t>
      </w:r>
    </w:p>
    <w:p>
      <w:pPr>
        <w:pStyle w:val="ListParagraph"/>
        <w:numPr>
          <w:ilvl w:val="0"/>
          <w:numId w:val="2"/>
        </w:numPr>
        <w:spacing w:after="60"/>
      </w:pPr>
      <w:r>
        <w:t xml:space="preserve">Multi-currency support — defer until international expansion is a live plan, not a hypothetical.</w:t>
      </w:r>
    </w:p>
    <w:p>
      <w:pPr>
        <w:pStyle w:val="ListParagraph"/>
        <w:numPr>
          <w:ilvl w:val="0"/>
          <w:numId w:val="2"/>
        </w:numPr>
        <w:spacing w:after="60"/>
      </w:pPr>
      <w:r>
        <w:t xml:space="preserve">IoT sensors, drone inspection, and computer-vision integrations — reasonable Phase 12+ candidates, not current-build scope.</w:t>
      </w:r>
    </w:p>
    <w:p>
      <w:pPr>
        <w:pStyle w:val="Heading1"/>
        <w:spacing w:after="160" w:before="340"/>
      </w:pPr>
      <w:r>
        <w:t xml:space="preserve">24. Implementation Phases</w:t>
      </w:r>
    </w:p>
    <w:p>
      <w:pPr>
        <w:spacing w:after="60"/>
      </w:pPr>
      <w:r>
        <w:rPr>
          <w:b/>
          <w:bCs/>
          <w:color w:val="1E7A34"/>
        </w:rPr>
        <w:t xml:space="preserve">NEW — </w:t>
      </w:r>
      <w:r>
        <w:t xml:space="preserve">Closes Audit Section 23 (Suggested Roadmap Revisions).</w:t>
      </w:r>
    </w:p>
    <w:p>
      <w:pPr>
        <w:spacing w:after="160"/>
      </w:pPr>
      <w:r>
        <w:rPr>
          <w:b w:val="false"/>
          <w:bCs w:val="false"/>
          <w:i w:val="false"/>
          <w:iCs w:val="false"/>
        </w:rPr>
        <w:t xml:space="preserve">Phase 0 is expanded rather than left as a discovery-only phase, and a new Phase 0.5 technical spike is inserted before implementation begins. Phase 4 now names vendor onboarding explicitly instead of leaving it implied.</w:t>
      </w:r>
    </w:p>
    <w:tbl>
      <w:tblPr>
        <w:tblW w:type="dxa" w:w="9820"/>
        <w:tblBorders>
          <w:top w:val="single" w:color="auto" w:sz="4"/>
          <w:left w:val="single" w:color="auto" w:sz="4"/>
          <w:bottom w:val="single" w:color="auto" w:sz="4"/>
          <w:right w:val="single" w:color="auto" w:sz="4"/>
          <w:insideH w:val="single" w:color="auto" w:sz="4"/>
          <w:insideV w:val="single" w:color="auto" w:sz="4"/>
        </w:tblBorders>
      </w:tblPr>
      <w:tblGrid>
        <w:gridCol w:w="1900"/>
        <w:gridCol w:w="7920"/>
      </w:tblGrid>
      <w:tr>
        <w:tc>
          <w:tcPr>
            <w:tcW w:type="dxa" w:w="1900"/>
            <w:shd w:fill="D9D9D9" w:val="clear"/>
          </w:tcPr>
          <w:p>
            <w:pPr>
              <w:spacing w:after="40"/>
            </w:pPr>
            <w:r>
              <w:rPr>
                <w:b/>
                <w:bCs/>
                <w:sz w:val="19"/>
                <w:szCs w:val="19"/>
              </w:rPr>
              <w:t xml:space="preserve">Phase</w:t>
            </w:r>
          </w:p>
        </w:tc>
        <w:tc>
          <w:tcPr>
            <w:tcW w:type="dxa" w:w="7920"/>
            <w:shd w:fill="D9D9D9" w:val="clear"/>
          </w:tcPr>
          <w:p>
            <w:pPr>
              <w:spacing w:after="40"/>
            </w:pPr>
            <w:r>
              <w:rPr>
                <w:b/>
                <w:bCs/>
                <w:sz w:val="19"/>
                <w:szCs w:val="19"/>
              </w:rPr>
              <w:t xml:space="preserve">Scope</w:t>
            </w:r>
          </w:p>
        </w:tc>
      </w:tr>
      <w:tr>
        <w:tc>
          <w:tcPr>
            <w:tcW w:type="dxa" w:w="1900"/>
          </w:tcPr>
          <w:p>
            <w:pPr>
              <w:spacing w:after="40"/>
            </w:pPr>
            <w:r>
              <w:rPr>
                <w:b w:val="false"/>
                <w:bCs w:val="false"/>
                <w:sz w:val="19"/>
                <w:szCs w:val="19"/>
              </w:rPr>
              <w:t xml:space="preserve">Phase 0</w:t>
            </w:r>
          </w:p>
        </w:tc>
        <w:tc>
          <w:tcPr>
            <w:tcW w:type="dxa" w:w="7920"/>
          </w:tcPr>
          <w:p>
            <w:pPr>
              <w:spacing w:after="40"/>
            </w:pPr>
            <w:r>
              <w:rPr>
                <w:b w:val="false"/>
                <w:bCs w:val="false"/>
                <w:sz w:val="19"/>
                <w:szCs w:val="19"/>
              </w:rPr>
              <w:t xml:space="preserve">Discovery, terminology, role matrix, approval matrix, classification, retention, threat model, DR topology and RTO/RPO targets, key-management and secrets-management design, module API contracts, and the minimum automated-testing baseline.</w:t>
            </w:r>
          </w:p>
        </w:tc>
      </w:tr>
      <w:tr>
        <w:tc>
          <w:tcPr>
            <w:tcW w:type="dxa" w:w="1900"/>
          </w:tcPr>
          <w:p>
            <w:pPr>
              <w:spacing w:after="40"/>
            </w:pPr>
            <w:r>
              <w:rPr>
                <w:b w:val="false"/>
                <w:bCs w:val="false"/>
                <w:sz w:val="19"/>
                <w:szCs w:val="19"/>
              </w:rPr>
              <w:t xml:space="preserve">Phase 0.5 (NEW)</w:t>
            </w:r>
          </w:p>
        </w:tc>
        <w:tc>
          <w:tcPr>
            <w:tcW w:type="dxa" w:w="7920"/>
          </w:tcPr>
          <w:p>
            <w:pPr>
              <w:spacing w:after="40"/>
            </w:pPr>
            <w:r>
              <w:rPr>
                <w:b w:val="false"/>
                <w:bCs w:val="false"/>
                <w:sz w:val="19"/>
                <w:szCs w:val="19"/>
              </w:rPr>
              <w:t xml:space="preserve">Technology spike, two weeks: close the AI-hosting decision, the event/queue technology choice, and the reporting-store technology choice before any Phase 1 code is written.</w:t>
            </w:r>
          </w:p>
        </w:tc>
      </w:tr>
      <w:tr>
        <w:tc>
          <w:tcPr>
            <w:tcW w:type="dxa" w:w="1900"/>
          </w:tcPr>
          <w:p>
            <w:pPr>
              <w:spacing w:after="40"/>
            </w:pPr>
            <w:r>
              <w:rPr>
                <w:b w:val="false"/>
                <w:bCs w:val="false"/>
                <w:sz w:val="19"/>
                <w:szCs w:val="19"/>
              </w:rPr>
              <w:t xml:space="preserve">Phase 1</w:t>
            </w:r>
          </w:p>
        </w:tc>
        <w:tc>
          <w:tcPr>
            <w:tcW w:type="dxa" w:w="7920"/>
          </w:tcPr>
          <w:p>
            <w:pPr>
              <w:spacing w:after="40"/>
            </w:pPr>
            <w:r>
              <w:rPr>
                <w:b w:val="false"/>
                <w:bCs w:val="false"/>
                <w:sz w:val="19"/>
                <w:szCs w:val="19"/>
              </w:rPr>
              <w:t xml:space="preserve">Identity, devices, legal entities, projects, audit, backups, owner console (plus break-glass secondary admin credential).</w:t>
            </w:r>
          </w:p>
        </w:tc>
      </w:tr>
      <w:tr>
        <w:tc>
          <w:tcPr>
            <w:tcW w:type="dxa" w:w="1900"/>
          </w:tcPr>
          <w:p>
            <w:pPr>
              <w:spacing w:after="40"/>
            </w:pPr>
            <w:r>
              <w:rPr>
                <w:b w:val="false"/>
                <w:bCs w:val="false"/>
                <w:sz w:val="19"/>
                <w:szCs w:val="19"/>
              </w:rPr>
              <w:t xml:space="preserve">Phase 2</w:t>
            </w:r>
          </w:p>
        </w:tc>
        <w:tc>
          <w:tcPr>
            <w:tcW w:type="dxa" w:w="7920"/>
          </w:tcPr>
          <w:p>
            <w:pPr>
              <w:spacing w:after="40"/>
            </w:pPr>
            <w:r>
              <w:rPr>
                <w:b w:val="false"/>
                <w:bCs w:val="false"/>
                <w:sz w:val="19"/>
                <w:szCs w:val="19"/>
              </w:rPr>
              <w:t xml:space="preserve">Documents, drawings, revisions, previews, watermarks (session-bound dynamic), export approvals.</w:t>
            </w:r>
          </w:p>
        </w:tc>
      </w:tr>
      <w:tr>
        <w:tc>
          <w:tcPr>
            <w:tcW w:type="dxa" w:w="1900"/>
          </w:tcPr>
          <w:p>
            <w:pPr>
              <w:spacing w:after="40"/>
            </w:pPr>
            <w:r>
              <w:rPr>
                <w:b w:val="false"/>
                <w:bCs w:val="false"/>
                <w:sz w:val="19"/>
                <w:szCs w:val="19"/>
              </w:rPr>
              <w:t xml:space="preserve">Phase 3</w:t>
            </w:r>
          </w:p>
        </w:tc>
        <w:tc>
          <w:tcPr>
            <w:tcW w:type="dxa" w:w="7920"/>
          </w:tcPr>
          <w:p>
            <w:pPr>
              <w:spacing w:after="40"/>
            </w:pPr>
            <w:r>
              <w:rPr>
                <w:b w:val="false"/>
                <w:bCs w:val="false"/>
                <w:sz w:val="19"/>
                <w:szCs w:val="19"/>
              </w:rPr>
              <w:t xml:space="preserve">Land, legal, approvals, JDA, RERA, loans, EMI, PDCs, obligations.</w:t>
            </w:r>
          </w:p>
        </w:tc>
      </w:tr>
      <w:tr>
        <w:tc>
          <w:tcPr>
            <w:tcW w:type="dxa" w:w="1900"/>
          </w:tcPr>
          <w:p>
            <w:pPr>
              <w:spacing w:after="40"/>
            </w:pPr>
            <w:r>
              <w:rPr>
                <w:b w:val="false"/>
                <w:bCs w:val="false"/>
                <w:sz w:val="19"/>
                <w:szCs w:val="19"/>
              </w:rPr>
              <w:t xml:space="preserve">Phase 4</w:t>
            </w:r>
          </w:p>
        </w:tc>
        <w:tc>
          <w:tcPr>
            <w:tcW w:type="dxa" w:w="7920"/>
          </w:tcPr>
          <w:p>
            <w:pPr>
              <w:spacing w:after="40"/>
            </w:pPr>
            <w:r>
              <w:rPr>
                <w:b w:val="false"/>
                <w:bCs w:val="false"/>
                <w:sz w:val="19"/>
                <w:szCs w:val="19"/>
              </w:rPr>
              <w:t xml:space="preserve">Budgets, procurement, vendors, contracts, milestones, payment approvals, and vendor/contractor onboarding with KYC as an explicit line item.</w:t>
            </w:r>
          </w:p>
        </w:tc>
      </w:tr>
      <w:tr>
        <w:tc>
          <w:tcPr>
            <w:tcW w:type="dxa" w:w="1900"/>
          </w:tcPr>
          <w:p>
            <w:pPr>
              <w:spacing w:after="40"/>
            </w:pPr>
            <w:r>
              <w:rPr>
                <w:b w:val="false"/>
                <w:bCs w:val="false"/>
                <w:sz w:val="19"/>
                <w:szCs w:val="19"/>
              </w:rPr>
              <w:t xml:space="preserve">Phase 5</w:t>
            </w:r>
          </w:p>
        </w:tc>
        <w:tc>
          <w:tcPr>
            <w:tcW w:type="dxa" w:w="7920"/>
          </w:tcPr>
          <w:p>
            <w:pPr>
              <w:spacing w:after="40"/>
            </w:pPr>
            <w:r>
              <w:rPr>
                <w:b w:val="false"/>
                <w:bCs w:val="false"/>
                <w:sz w:val="19"/>
                <w:szCs w:val="19"/>
              </w:rPr>
              <w:t xml:space="preserve">Construction, site diary, QA/QC, inspections, progress, snagging, EHS incident register.</w:t>
            </w:r>
          </w:p>
        </w:tc>
      </w:tr>
      <w:tr>
        <w:tc>
          <w:tcPr>
            <w:tcW w:type="dxa" w:w="1900"/>
          </w:tcPr>
          <w:p>
            <w:pPr>
              <w:spacing w:after="40"/>
            </w:pPr>
            <w:r>
              <w:rPr>
                <w:b w:val="false"/>
                <w:bCs w:val="false"/>
                <w:sz w:val="19"/>
                <w:szCs w:val="19"/>
              </w:rPr>
              <w:t xml:space="preserve">Phase 6</w:t>
            </w:r>
          </w:p>
        </w:tc>
        <w:tc>
          <w:tcPr>
            <w:tcW w:type="dxa" w:w="7920"/>
          </w:tcPr>
          <w:p>
            <w:pPr>
              <w:spacing w:after="40"/>
            </w:pPr>
            <w:r>
              <w:rPr>
                <w:b w:val="false"/>
                <w:bCs w:val="false"/>
                <w:sz w:val="19"/>
                <w:szCs w:val="19"/>
              </w:rPr>
              <w:t xml:space="preserve">BIM, BOQ, quantity verification, discrepancies, material traceability, CostCode-based WBS costing.</w:t>
            </w:r>
          </w:p>
        </w:tc>
      </w:tr>
      <w:tr>
        <w:tc>
          <w:tcPr>
            <w:tcW w:type="dxa" w:w="1900"/>
          </w:tcPr>
          <w:p>
            <w:pPr>
              <w:spacing w:after="40"/>
            </w:pPr>
            <w:r>
              <w:rPr>
                <w:b w:val="false"/>
                <w:bCs w:val="false"/>
                <w:sz w:val="19"/>
                <w:szCs w:val="19"/>
              </w:rPr>
              <w:t xml:space="preserve">Phase 7</w:t>
            </w:r>
          </w:p>
        </w:tc>
        <w:tc>
          <w:tcPr>
            <w:tcW w:type="dxa" w:w="7920"/>
          </w:tcPr>
          <w:p>
            <w:pPr>
              <w:spacing w:after="40"/>
            </w:pPr>
            <w:r>
              <w:rPr>
                <w:b w:val="false"/>
                <w:bCs w:val="false"/>
                <w:sz w:val="19"/>
                <w:szCs w:val="19"/>
              </w:rPr>
              <w:t xml:space="preserve">Change management, RFI and NCR as first-class workflow objects.</w:t>
            </w:r>
          </w:p>
        </w:tc>
      </w:tr>
      <w:tr>
        <w:tc>
          <w:tcPr>
            <w:tcW w:type="dxa" w:w="1900"/>
          </w:tcPr>
          <w:p>
            <w:pPr>
              <w:spacing w:after="40"/>
            </w:pPr>
            <w:r>
              <w:rPr>
                <w:b w:val="false"/>
                <w:bCs w:val="false"/>
                <w:sz w:val="19"/>
                <w:szCs w:val="19"/>
              </w:rPr>
              <w:t xml:space="preserve">Phase 8</w:t>
            </w:r>
          </w:p>
        </w:tc>
        <w:tc>
          <w:tcPr>
            <w:tcW w:type="dxa" w:w="7920"/>
          </w:tcPr>
          <w:p>
            <w:pPr>
              <w:spacing w:after="40"/>
            </w:pPr>
            <w:r>
              <w:rPr>
                <w:b w:val="false"/>
                <w:bCs w:val="false"/>
                <w:sz w:val="19"/>
                <w:szCs w:val="19"/>
              </w:rPr>
              <w:t xml:space="preserve">Customer booking, collections, registration, possession, e-signature contract execution.</w:t>
            </w:r>
          </w:p>
        </w:tc>
      </w:tr>
      <w:tr>
        <w:tc>
          <w:tcPr>
            <w:tcW w:type="dxa" w:w="1900"/>
          </w:tcPr>
          <w:p>
            <w:pPr>
              <w:spacing w:after="40"/>
            </w:pPr>
            <w:r>
              <w:rPr>
                <w:b w:val="false"/>
                <w:bCs w:val="false"/>
                <w:sz w:val="19"/>
                <w:szCs w:val="19"/>
              </w:rPr>
              <w:t xml:space="preserve">Phase 9</w:t>
            </w:r>
          </w:p>
        </w:tc>
        <w:tc>
          <w:tcPr>
            <w:tcW w:type="dxa" w:w="7920"/>
          </w:tcPr>
          <w:p>
            <w:r>
              <w:t>ERPNext external-ledger synchronization and reconciliation.</w:t>
            </w:r>
          </w:p>
        </w:tc>
      </w:tr>
      <w:tr>
        <w:tc>
          <w:tcPr>
            <w:tcW w:type="dxa" w:w="1900"/>
          </w:tcPr>
          <w:p>
            <w:pPr>
              <w:spacing w:after="40"/>
            </w:pPr>
            <w:r>
              <w:rPr>
                <w:b w:val="false"/>
                <w:bCs w:val="false"/>
                <w:sz w:val="19"/>
                <w:szCs w:val="19"/>
              </w:rPr>
              <w:t xml:space="preserve">Phase 10</w:t>
            </w:r>
          </w:p>
        </w:tc>
        <w:tc>
          <w:tcPr>
            <w:tcW w:type="dxa" w:w="7920"/>
          </w:tcPr>
          <w:p>
            <w:pPr>
              <w:spacing w:after="40"/>
            </w:pPr>
            <w:r>
              <w:rPr>
                <w:b w:val="false"/>
                <w:bCs w:val="false"/>
                <w:sz w:val="19"/>
                <w:szCs w:val="19"/>
              </w:rPr>
              <w:t xml:space="preserve">CEO dashboard and advanced analytics, on the separated reporting store.</w:t>
            </w:r>
          </w:p>
        </w:tc>
      </w:tr>
      <w:tr>
        <w:tc>
          <w:tcPr>
            <w:tcW w:type="dxa" w:w="1900"/>
          </w:tcPr>
          <w:p>
            <w:pPr>
              <w:spacing w:after="40"/>
            </w:pPr>
            <w:r>
              <w:rPr>
                <w:b w:val="false"/>
                <w:bCs w:val="false"/>
                <w:sz w:val="19"/>
                <w:szCs w:val="19"/>
              </w:rPr>
              <w:t xml:space="preserve">Phase 11</w:t>
            </w:r>
          </w:p>
        </w:tc>
        <w:tc>
          <w:tcPr>
            <w:tcW w:type="dxa" w:w="7920"/>
          </w:tcPr>
          <w:p>
            <w:pPr>
              <w:spacing w:after="40"/>
            </w:pPr>
            <w:r>
              <w:rPr>
                <w:b w:val="false"/>
                <w:bCs w:val="false"/>
                <w:sz w:val="19"/>
                <w:szCs w:val="19"/>
              </w:rPr>
              <w:t xml:space="preserve">Private AI assistant — gated on the Phase 0.5 hosting decision and the pre-launch red-team exercise (Section 17.1).</w:t>
            </w:r>
          </w:p>
        </w:tc>
      </w:tr>
    </w:tbl>
    <w:p>
      <w:pPr>
        <w:pStyle w:val="Heading1"/>
        <w:spacing w:after="160" w:before="340"/>
      </w:pPr>
      <w:r>
        <w:t xml:space="preserve">25. Open Decisions Requiring Owner Sign-off</w:t>
      </w:r>
    </w:p>
    <w:p>
      <w:pPr>
        <w:spacing w:after="160"/>
      </w:pPr>
      <w:r>
        <w:rPr>
          <w:b w:val="false"/>
          <w:bCs w:val="false"/>
          <w:i w:val="false"/>
          <w:iCs w:val="false"/>
        </w:rPr>
        <w:t xml:space="preserve">The audit's Final Verdict was "Proceed, with amendments" — not yet build-ready. These are the specific amendments requiring an explicit owner decision before Phase 0 discovery is considered closed:</w:t>
      </w:r>
    </w:p>
    <w:p>
      <w:pPr>
        <w:pStyle w:val="ListParagraph"/>
        <w:numPr>
          <w:ilvl w:val="0"/>
          <w:numId w:val="2"/>
        </w:numPr>
        <w:spacing w:after="60"/>
      </w:pPr>
      <w:r>
        <w:t xml:space="preserve">AI hosting model — self-hosted open-weight model vs. commercial API under an enterprise zero-retention DPA (Section 17.1).</w:t>
      </w:r>
    </w:p>
    <w:p>
      <w:pPr>
        <w:pStyle w:val="ListParagraph"/>
        <w:numPr>
          <w:ilvl w:val="0"/>
          <w:numId w:val="2"/>
        </w:numPr>
        <w:spacing w:after="60"/>
      </w:pPr>
      <w:r>
        <w:t xml:space="preserve">Key-management product — self-hosted HSM vs. cloud KMS, and which specific product (Section 3.3).</w:t>
      </w:r>
    </w:p>
    <w:p>
      <w:pPr>
        <w:pStyle w:val="ListParagraph"/>
        <w:numPr>
          <w:ilvl w:val="0"/>
          <w:numId w:val="2"/>
        </w:numPr>
        <w:spacing w:after="60"/>
      </w:pPr>
      <w:r>
        <w:t xml:space="preserve">DR targets — confirm or revise the recommended default RTO of 4 hours and RPO of 15 minutes / 24 hours (Section 3.2, Section 21).</w:t>
      </w:r>
    </w:p>
    <w:p>
      <w:pPr>
        <w:pStyle w:val="ListParagraph"/>
        <w:numPr>
          <w:ilvl w:val="0"/>
          <w:numId w:val="2"/>
        </w:numPr>
        <w:spacing w:after="60"/>
      </w:pPr>
      <w:r>
        <w:t xml:space="preserve">Break-glass secondary admin — who holds the sealed owner-console credential (Section 3.2).</w:t>
      </w:r>
    </w:p>
    <w:p>
      <w:pPr>
        <w:pStyle w:val="ListParagraph"/>
        <w:numPr>
          <w:ilvl w:val="0"/>
          <w:numId w:val="2"/>
        </w:numPr>
        <w:spacing w:after="60"/>
      </w:pPr>
      <w:r>
        <w:t xml:space="preserve">CRM — build vs. integrate decision, and which platform if integrating (Section 4.2).</w:t>
      </w:r>
    </w:p>
    <w:p>
      <w:pPr>
        <w:pStyle w:val="ListParagraph"/>
        <w:numPr>
          <w:ilvl w:val="0"/>
          <w:numId w:val="2"/>
        </w:numPr>
        <w:spacing w:after="60"/>
      </w:pPr>
      <w:r>
        <w:t xml:space="preserve">Warm standby location — where the second physical site for DR will be hosted (Section 3.2).</w:t>
      </w:r>
    </w:p>
    <w:p>
      <w:pPr>
        <w:pStyle w:val="Heading1"/>
        <w:spacing w:after="160" w:before="340"/>
      </w:pPr>
      <w:r>
        <w:t xml:space="preserve">26. Final Architecture Position</w:t>
      </w:r>
    </w:p>
    <w:p>
      <w:pPr>
        <w:spacing w:after="160"/>
      </w:pPr>
      <w:r>
        <w:rPr>
          <w:b w:val="false"/>
          <w:bCs w:val="false"/>
          <w:i w:val="false"/>
          <w:iCs w:val="false"/>
        </w:rPr>
        <w:t xml:space="preserve">Recommended architecture, revised:</w:t>
      </w:r>
    </w:p>
    <w:p>
      <w:pPr>
        <w:pStyle w:val="ListParagraph"/>
        <w:numPr>
          <w:ilvl w:val="0"/>
          <w:numId w:val="2"/>
        </w:numPr>
        <w:spacing w:after="60"/>
      </w:pPr>
      <w:r>
        <w:t xml:space="preserve">Private self-hosted modular monolith.</w:t>
      </w:r>
    </w:p>
    <w:p>
      <w:pPr>
        <w:pStyle w:val="ListParagraph"/>
        <w:numPr>
          <w:ilvl w:val="0"/>
          <w:numId w:val="2"/>
        </w:numPr>
        <w:spacing w:after="60"/>
      </w:pPr>
      <w:r>
        <w:t xml:space="preserve">PostgreSQL, with a logical-replication reporting read replica.</w:t>
      </w:r>
    </w:p>
    <w:p>
      <w:pPr>
        <w:pStyle w:val="ListParagraph"/>
        <w:numPr>
          <w:ilvl w:val="0"/>
          <w:numId w:val="2"/>
        </w:numPr>
        <w:spacing w:after="60"/>
      </w:pPr>
      <w:r>
        <w:t xml:space="preserve">Encrypted object storage under customer-managed keys via a self-hosted or cloud KMS.</w:t>
      </w:r>
    </w:p>
    <w:p>
      <w:pPr>
        <w:pStyle w:val="ListParagraph"/>
        <w:numPr>
          <w:ilvl w:val="0"/>
          <w:numId w:val="2"/>
        </w:numPr>
        <w:spacing w:after="60"/>
      </w:pPr>
      <w:r>
        <w:t xml:space="preserve">Passkey-based device binding.</w:t>
      </w:r>
    </w:p>
    <w:p>
      <w:pPr>
        <w:pStyle w:val="ListParagraph"/>
        <w:numPr>
          <w:ilvl w:val="0"/>
          <w:numId w:val="2"/>
        </w:numPr>
        <w:spacing w:after="60"/>
      </w:pPr>
      <w:r>
        <w:t xml:space="preserve">Browser-based controlled access with a WAF and rate limiting at the edge.</w:t>
      </w:r>
    </w:p>
    <w:p>
      <w:pPr>
        <w:pStyle w:val="ListParagraph"/>
        <w:numPr>
          <w:ilvl w:val="0"/>
          <w:numId w:val="2"/>
        </w:numPr>
        <w:spacing w:after="60"/>
      </w:pPr>
      <w:r>
        <w:t xml:space="preserve">Project and legal-entity isolation.</w:t>
      </w:r>
    </w:p>
    <w:p>
      <w:pPr>
        <w:pStyle w:val="ListParagraph"/>
        <w:numPr>
          <w:ilvl w:val="0"/>
          <w:numId w:val="2"/>
        </w:numPr>
        <w:spacing w:after="60"/>
      </w:pPr>
      <w:r>
        <w:t xml:space="preserve">Versioned workflow engine, including an explicit contract-execution (e-signature) state.</w:t>
      </w:r>
    </w:p>
    <w:p>
      <w:pPr>
        <w:pStyle w:val="ListParagraph"/>
        <w:numPr>
          <w:ilvl w:val="0"/>
          <w:numId w:val="2"/>
        </w:numPr>
        <w:spacing w:after="60"/>
      </w:pPr>
      <w:r>
        <w:t xml:space="preserve">Hash-chained, append-only audit trail.</w:t>
      </w:r>
    </w:p>
    <w:p>
      <w:pPr>
        <w:pStyle w:val="ListParagraph"/>
        <w:numPr>
          <w:ilvl w:val="0"/>
          <w:numId w:val="2"/>
        </w:numPr>
        <w:spacing w:after="60"/>
      </w:pPr>
      <w:r>
        <w:t>ERPNext external-ledger synchronization and reconciliation.</w:t>
      </w:r>
    </w:p>
    <w:p>
      <w:pPr>
        <w:pStyle w:val="ListParagraph"/>
        <w:numPr>
          <w:ilvl w:val="0"/>
          <w:numId w:val="2"/>
        </w:numPr>
        <w:spacing w:after="60"/>
      </w:pPr>
      <w:r>
        <w:t xml:space="preserve">Human-gated AI, with an explicit hosting decision and pre-launch red-team.</w:t>
      </w:r>
    </w:p>
    <w:p>
      <w:pPr>
        <w:pStyle w:val="ListParagraph"/>
        <w:numPr>
          <w:ilvl w:val="0"/>
          <w:numId w:val="2"/>
        </w:numPr>
        <w:spacing w:after="60"/>
      </w:pPr>
      <w:r>
        <w:t xml:space="preserve">A warm-standby DR site with quarterly restore testing.</w:t>
      </w:r>
    </w:p>
    <w:p>
      <w:pPr>
        <w:pStyle w:val="ListParagraph"/>
        <w:numPr>
          <w:ilvl w:val="0"/>
          <w:numId w:val="2"/>
        </w:numPr>
        <w:spacing w:after="60"/>
      </w:pPr>
      <w:r>
        <w:t xml:space="preserve">A lightweight event/notification layer decoupling modules.</w:t>
      </w:r>
    </w:p>
    <w:p>
      <w:pPr>
        <w:pStyle w:val="ListParagraph"/>
        <w:numPr>
          <w:ilvl w:val="0"/>
          <w:numId w:val="2"/>
        </w:numPr>
        <w:spacing w:after="60"/>
      </w:pPr>
      <w:r>
        <w:t xml:space="preserve">CI/CD and a staging environment established before Phase 1.</w:t>
      </w:r>
    </w:p>
    <w:p>
      <w:pPr>
        <w:spacing w:after="160"/>
      </w:pPr>
      <w:r>
        <w:rPr>
          <w:b w:val="false"/>
          <w:bCs w:val="false"/>
          <w:i w:val="false"/>
          <w:iCs w:val="false"/>
        </w:rPr>
        <w:t xml:space="preserve">Every major module still preserves: what was planned, what was approved, what actually happened, who accepted responsibility.</w:t>
      </w:r>
    </w:p>
    <w:p>
      <w:r>
        <w:br w:type="page"/>
      </w:r>
    </w:p>
    <w:p>
      <w:pPr>
        <w:pStyle w:val="Heading1"/>
        <w:spacing w:after="160" w:before="340"/>
      </w:pPr>
      <w:r>
        <w:t xml:space="preserve">27. Audit Traceability Matrix</w:t>
      </w:r>
    </w:p>
    <w:p>
      <w:pPr>
        <w:spacing w:after="160"/>
      </w:pPr>
      <w:r>
        <w:rPr>
          <w:b w:val="false"/>
          <w:bCs w:val="false"/>
          <w:i w:val="false"/>
          <w:iCs w:val="false"/>
        </w:rPr>
        <w:t xml:space="preserve">Every numbered finding in the Independent Architecture Audit Report, mapped to where it is resolved in this v2 blueprint.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20"/>
      </w:tblGrid>
      <w:tr>
        <w:tc>
          <w:tcPr>
            <w:tcW w:type="dxa" w:w="2400"/>
            <w:shd w:fill="D9D9D9" w:val="clear"/>
          </w:tcPr>
          <w:p>
            <w:pPr>
              <w:spacing w:after="40"/>
            </w:pPr>
            <w:r>
              <w:rPr>
                <w:b/>
                <w:bCs/>
                <w:sz w:val="19"/>
                <w:szCs w:val="19"/>
              </w:rPr>
              <w:t xml:space="preserve">Audit Section</w:t>
            </w:r>
          </w:p>
        </w:tc>
        <w:tc>
          <w:tcPr>
            <w:tcW w:type="dxa" w:w="4200"/>
            <w:shd w:fill="D9D9D9" w:val="clear"/>
          </w:tcPr>
          <w:p>
            <w:pPr>
              <w:spacing w:after="40"/>
            </w:pPr>
            <w:r>
              <w:rPr>
                <w:b/>
                <w:bCs/>
                <w:sz w:val="19"/>
                <w:szCs w:val="19"/>
              </w:rPr>
              <w:t xml:space="preserve">Finding</w:t>
            </w:r>
          </w:p>
        </w:tc>
        <w:tc>
          <w:tcPr>
            <w:tcW w:type="dxa" w:w="2920"/>
            <w:shd w:fill="D9D9D9" w:val="clear"/>
          </w:tcPr>
          <w:p>
            <w:pPr>
              <w:spacing w:after="40"/>
            </w:pPr>
            <w:r>
              <w:rPr>
                <w:b/>
                <w:bCs/>
                <w:sz w:val="19"/>
                <w:szCs w:val="19"/>
              </w:rPr>
              <w:t xml:space="preserve">Resolved in v2</w:t>
            </w:r>
          </w:p>
        </w:tc>
      </w:tr>
      <w:tr>
        <w:tc>
          <w:tcPr>
            <w:tcW w:type="dxa" w:w="2400"/>
          </w:tcPr>
          <w:p>
            <w:pPr>
              <w:spacing w:after="40"/>
            </w:pPr>
            <w:r>
              <w:rPr>
                <w:b w:val="false"/>
                <w:bCs w:val="false"/>
                <w:sz w:val="19"/>
                <w:szCs w:val="19"/>
              </w:rPr>
              <w:t xml:space="preserve">10 — Critical Risk 1</w:t>
            </w:r>
          </w:p>
        </w:tc>
        <w:tc>
          <w:tcPr>
            <w:tcW w:type="dxa" w:w="4200"/>
          </w:tcPr>
          <w:p>
            <w:pPr>
              <w:spacing w:after="40"/>
            </w:pPr>
            <w:r>
              <w:rPr>
                <w:b w:val="false"/>
                <w:bCs w:val="false"/>
                <w:sz w:val="19"/>
                <w:szCs w:val="19"/>
              </w:rPr>
              <w:t xml:space="preserve">Single on-premise server, no DR</w:t>
            </w:r>
          </w:p>
        </w:tc>
        <w:tc>
          <w:tcPr>
            <w:tcW w:type="dxa" w:w="2920"/>
          </w:tcPr>
          <w:p>
            <w:pPr>
              <w:spacing w:after="40"/>
            </w:pPr>
            <w:r>
              <w:rPr>
                <w:b w:val="false"/>
                <w:bCs w:val="false"/>
                <w:sz w:val="19"/>
                <w:szCs w:val="19"/>
              </w:rPr>
              <w:t xml:space="preserve">§3.2 Disaster Recovery Topology</w:t>
            </w:r>
          </w:p>
        </w:tc>
      </w:tr>
      <w:tr>
        <w:tc>
          <w:tcPr>
            <w:tcW w:type="dxa" w:w="2400"/>
          </w:tcPr>
          <w:p>
            <w:pPr>
              <w:spacing w:after="40"/>
            </w:pPr>
            <w:r>
              <w:rPr>
                <w:b w:val="false"/>
                <w:bCs w:val="false"/>
                <w:sz w:val="19"/>
                <w:szCs w:val="19"/>
              </w:rPr>
              <w:t xml:space="preserve">10 — Critical Risk 2</w:t>
            </w:r>
          </w:p>
        </w:tc>
        <w:tc>
          <w:tcPr>
            <w:tcW w:type="dxa" w:w="4200"/>
          </w:tcPr>
          <w:p>
            <w:pPr>
              <w:spacing w:after="40"/>
            </w:pPr>
            <w:r>
              <w:rPr>
                <w:b w:val="false"/>
                <w:bCs w:val="false"/>
                <w:sz w:val="19"/>
                <w:szCs w:val="19"/>
              </w:rPr>
              <w:t xml:space="preserve">No key-management strategy</w:t>
            </w:r>
          </w:p>
        </w:tc>
        <w:tc>
          <w:tcPr>
            <w:tcW w:type="dxa" w:w="2920"/>
          </w:tcPr>
          <w:p>
            <w:pPr>
              <w:spacing w:after="40"/>
            </w:pPr>
            <w:r>
              <w:rPr>
                <w:b w:val="false"/>
                <w:bCs w:val="false"/>
                <w:sz w:val="19"/>
                <w:szCs w:val="19"/>
              </w:rPr>
              <w:t xml:space="preserve">§3.3 Key Management &amp; Secrets Architecture</w:t>
            </w:r>
          </w:p>
        </w:tc>
      </w:tr>
      <w:tr>
        <w:tc>
          <w:tcPr>
            <w:tcW w:type="dxa" w:w="2400"/>
          </w:tcPr>
          <w:p>
            <w:pPr>
              <w:spacing w:after="40"/>
            </w:pPr>
            <w:r>
              <w:rPr>
                <w:b w:val="false"/>
                <w:bCs w:val="false"/>
                <w:sz w:val="19"/>
                <w:szCs w:val="19"/>
              </w:rPr>
              <w:t xml:space="preserve">10 — Critical Risk 3</w:t>
            </w:r>
          </w:p>
        </w:tc>
        <w:tc>
          <w:tcPr>
            <w:tcW w:type="dxa" w:w="4200"/>
          </w:tcPr>
          <w:p>
            <w:pPr>
              <w:spacing w:after="40"/>
            </w:pPr>
            <w:r>
              <w:rPr>
                <w:b w:val="false"/>
                <w:bCs w:val="false"/>
                <w:sz w:val="19"/>
                <w:szCs w:val="19"/>
              </w:rPr>
              <w:t xml:space="preserve">AI hosting model undefined</w:t>
            </w:r>
          </w:p>
        </w:tc>
        <w:tc>
          <w:tcPr>
            <w:tcW w:type="dxa" w:w="2920"/>
          </w:tcPr>
          <w:p>
            <w:pPr>
              <w:spacing w:after="40"/>
            </w:pPr>
            <w:r>
              <w:rPr>
                <w:b w:val="false"/>
                <w:bCs w:val="false"/>
                <w:sz w:val="19"/>
                <w:szCs w:val="19"/>
              </w:rPr>
              <w:t xml:space="preserve">§17.1, §25</w:t>
            </w:r>
          </w:p>
        </w:tc>
      </w:tr>
      <w:tr>
        <w:tc>
          <w:tcPr>
            <w:tcW w:type="dxa" w:w="2400"/>
          </w:tcPr>
          <w:p>
            <w:pPr>
              <w:spacing w:after="40"/>
            </w:pPr>
            <w:r>
              <w:rPr>
                <w:b w:val="false"/>
                <w:bCs w:val="false"/>
                <w:sz w:val="19"/>
                <w:szCs w:val="19"/>
              </w:rPr>
              <w:t xml:space="preserve">10 — Critical Risk 4</w:t>
            </w:r>
          </w:p>
        </w:tc>
        <w:tc>
          <w:tcPr>
            <w:tcW w:type="dxa" w:w="4200"/>
          </w:tcPr>
          <w:p>
            <w:pPr>
              <w:spacing w:after="40"/>
            </w:pPr>
            <w:r>
              <w:rPr>
                <w:b w:val="false"/>
                <w:bCs w:val="false"/>
                <w:sz w:val="19"/>
                <w:szCs w:val="19"/>
              </w:rPr>
              <w:t xml:space="preserve">No succession plan for owner console</w:t>
            </w:r>
          </w:p>
        </w:tc>
        <w:tc>
          <w:tcPr>
            <w:tcW w:type="dxa" w:w="2920"/>
          </w:tcPr>
          <w:p>
            <w:pPr>
              <w:spacing w:after="40"/>
            </w:pPr>
            <w:r>
              <w:rPr>
                <w:b w:val="false"/>
                <w:bCs w:val="false"/>
                <w:sz w:val="19"/>
                <w:szCs w:val="19"/>
              </w:rPr>
              <w:t xml:space="preserve">§3.2 (break-glass admin)</w:t>
            </w:r>
          </w:p>
        </w:tc>
      </w:tr>
      <w:tr>
        <w:tc>
          <w:tcPr>
            <w:tcW w:type="dxa" w:w="2400"/>
          </w:tcPr>
          <w:p>
            <w:pPr>
              <w:spacing w:after="40"/>
            </w:pPr>
            <w:r>
              <w:rPr>
                <w:b w:val="false"/>
                <w:bCs w:val="false"/>
                <w:sz w:val="19"/>
                <w:szCs w:val="19"/>
              </w:rPr>
              <w:t xml:space="preserve">10 — Critical Risk 5</w:t>
            </w:r>
          </w:p>
        </w:tc>
        <w:tc>
          <w:tcPr>
            <w:tcW w:type="dxa" w:w="4200"/>
          </w:tcPr>
          <w:p>
            <w:pPr>
              <w:spacing w:after="40"/>
            </w:pPr>
            <w:r>
              <w:rPr>
                <w:b w:val="false"/>
                <w:bCs w:val="false"/>
                <w:sz w:val="19"/>
                <w:szCs w:val="19"/>
              </w:rPr>
              <w:t xml:space="preserve">No RTO/RPO or recovery-testing cadence</w:t>
            </w:r>
          </w:p>
        </w:tc>
        <w:tc>
          <w:tcPr>
            <w:tcW w:type="dxa" w:w="2920"/>
          </w:tcPr>
          <w:p>
            <w:pPr>
              <w:spacing w:after="40"/>
            </w:pPr>
            <w:r>
              <w:rPr>
                <w:b w:val="false"/>
                <w:bCs w:val="false"/>
                <w:sz w:val="19"/>
                <w:szCs w:val="19"/>
              </w:rPr>
              <w:t xml:space="preserve">§3.2, §21</w:t>
            </w:r>
          </w:p>
        </w:tc>
      </w:tr>
      <w:tr>
        <w:tc>
          <w:tcPr>
            <w:tcW w:type="dxa" w:w="2400"/>
          </w:tcPr>
          <w:p>
            <w:pPr>
              <w:spacing w:after="40"/>
            </w:pPr>
            <w:r>
              <w:rPr>
                <w:b w:val="false"/>
                <w:bCs w:val="false"/>
                <w:sz w:val="19"/>
                <w:szCs w:val="19"/>
              </w:rPr>
              <w:t xml:space="preserve">9 — Missing Module: Vendor/contractor KYC</w:t>
            </w:r>
          </w:p>
        </w:tc>
        <w:tc>
          <w:tcPr>
            <w:tcW w:type="dxa" w:w="4200"/>
          </w:tcPr>
          <w:p>
            <w:pPr>
              <w:spacing w:after="40"/>
            </w:pPr>
            <w:r>
              <w:rPr>
                <w:b w:val="false"/>
                <w:bCs w:val="false"/>
                <w:sz w:val="19"/>
                <w:szCs w:val="19"/>
              </w:rPr>
              <w:t xml:space="preserve">Absent</w:t>
            </w:r>
          </w:p>
        </w:tc>
        <w:tc>
          <w:tcPr>
            <w:tcW w:type="dxa" w:w="2920"/>
          </w:tcPr>
          <w:p>
            <w:pPr>
              <w:spacing w:after="40"/>
            </w:pPr>
            <w:r>
              <w:rPr>
                <w:b w:val="false"/>
                <w:bCs w:val="false"/>
                <w:sz w:val="19"/>
                <w:szCs w:val="19"/>
              </w:rPr>
              <w:t xml:space="preserve">§4.2, §11 Vendor Onboarding Workflow</w:t>
            </w:r>
          </w:p>
        </w:tc>
      </w:tr>
      <w:tr>
        <w:tc>
          <w:tcPr>
            <w:tcW w:type="dxa" w:w="2400"/>
          </w:tcPr>
          <w:p>
            <w:pPr>
              <w:spacing w:after="40"/>
            </w:pPr>
            <w:r>
              <w:rPr>
                <w:b w:val="false"/>
                <w:bCs w:val="false"/>
                <w:sz w:val="19"/>
                <w:szCs w:val="19"/>
              </w:rPr>
              <w:t xml:space="preserve">9 — Missing Module: Insurance / CAR tracking</w:t>
            </w:r>
          </w:p>
        </w:tc>
        <w:tc>
          <w:tcPr>
            <w:tcW w:type="dxa" w:w="4200"/>
          </w:tcPr>
          <w:p>
            <w:pPr>
              <w:spacing w:after="40"/>
            </w:pPr>
            <w:r>
              <w:rPr>
                <w:b w:val="false"/>
                <w:bCs w:val="false"/>
                <w:sz w:val="19"/>
                <w:szCs w:val="19"/>
              </w:rPr>
              <w:t xml:space="preserve">Absent</w:t>
            </w:r>
          </w:p>
        </w:tc>
        <w:tc>
          <w:tcPr>
            <w:tcW w:type="dxa" w:w="2920"/>
          </w:tcPr>
          <w:p>
            <w:pPr>
              <w:spacing w:after="40"/>
            </w:pPr>
            <w:r>
              <w:rPr>
                <w:b w:val="false"/>
                <w:bCs w:val="false"/>
                <w:sz w:val="19"/>
                <w:szCs w:val="19"/>
              </w:rPr>
              <w:t xml:space="preserve">§4.2, §5.2 InsurancePolicy</w:t>
            </w:r>
          </w:p>
        </w:tc>
      </w:tr>
      <w:tr>
        <w:tc>
          <w:tcPr>
            <w:tcW w:type="dxa" w:w="2400"/>
          </w:tcPr>
          <w:p>
            <w:pPr>
              <w:spacing w:after="40"/>
            </w:pPr>
            <w:r>
              <w:rPr>
                <w:b w:val="false"/>
                <w:bCs w:val="false"/>
                <w:sz w:val="19"/>
                <w:szCs w:val="19"/>
              </w:rPr>
              <w:t xml:space="preserve">9 — Missing Module: Labour compliance</w:t>
            </w:r>
          </w:p>
        </w:tc>
        <w:tc>
          <w:tcPr>
            <w:tcW w:type="dxa" w:w="4200"/>
          </w:tcPr>
          <w:p>
            <w:pPr>
              <w:spacing w:after="40"/>
            </w:pPr>
            <w:r>
              <w:rPr>
                <w:b w:val="false"/>
                <w:bCs w:val="false"/>
                <w:sz w:val="19"/>
                <w:szCs w:val="19"/>
              </w:rPr>
              <w:t xml:space="preserve">Absent</w:t>
            </w:r>
          </w:p>
        </w:tc>
        <w:tc>
          <w:tcPr>
            <w:tcW w:type="dxa" w:w="2920"/>
          </w:tcPr>
          <w:p>
            <w:pPr>
              <w:spacing w:after="40"/>
            </w:pPr>
            <w:r>
              <w:rPr>
                <w:b w:val="false"/>
                <w:bCs w:val="false"/>
                <w:sz w:val="19"/>
                <w:szCs w:val="19"/>
              </w:rPr>
              <w:t xml:space="preserve">§4.2, §5.2 LabourComplianceRecord</w:t>
            </w:r>
          </w:p>
        </w:tc>
      </w:tr>
      <w:tr>
        <w:tc>
          <w:tcPr>
            <w:tcW w:type="dxa" w:w="2400"/>
          </w:tcPr>
          <w:p>
            <w:pPr>
              <w:spacing w:after="40"/>
            </w:pPr>
            <w:r>
              <w:rPr>
                <w:b w:val="false"/>
                <w:bCs w:val="false"/>
                <w:sz w:val="19"/>
                <w:szCs w:val="19"/>
              </w:rPr>
              <w:t xml:space="preserve">9 — Missing Module: RFI / NCR</w:t>
            </w:r>
          </w:p>
        </w:tc>
        <w:tc>
          <w:tcPr>
            <w:tcW w:type="dxa" w:w="4200"/>
          </w:tcPr>
          <w:p>
            <w:pPr>
              <w:spacing w:after="40"/>
            </w:pPr>
            <w:r>
              <w:rPr>
                <w:b w:val="false"/>
                <w:bCs w:val="false"/>
                <w:sz w:val="19"/>
                <w:szCs w:val="19"/>
              </w:rPr>
              <w:t xml:space="preserve">Folded into generic discrepancy case</w:t>
            </w:r>
          </w:p>
        </w:tc>
        <w:tc>
          <w:tcPr>
            <w:tcW w:type="dxa" w:w="2920"/>
          </w:tcPr>
          <w:p>
            <w:pPr>
              <w:spacing w:after="40"/>
            </w:pPr>
            <w:r>
              <w:rPr>
                <w:b w:val="false"/>
                <w:bCs w:val="false"/>
                <w:sz w:val="19"/>
                <w:szCs w:val="19"/>
              </w:rPr>
              <w:t xml:space="preserve">§4.2, §5.2, §12</w:t>
            </w:r>
          </w:p>
        </w:tc>
      </w:tr>
      <w:tr>
        <w:tc>
          <w:tcPr>
            <w:tcW w:type="dxa" w:w="2400"/>
          </w:tcPr>
          <w:p>
            <w:pPr>
              <w:spacing w:after="40"/>
            </w:pPr>
            <w:r>
              <w:rPr>
                <w:b w:val="false"/>
                <w:bCs w:val="false"/>
                <w:sz w:val="19"/>
                <w:szCs w:val="19"/>
              </w:rPr>
              <w:t xml:space="preserve">9 — Missing Module: E-signature</w:t>
            </w:r>
          </w:p>
        </w:tc>
        <w:tc>
          <w:tcPr>
            <w:tcW w:type="dxa" w:w="4200"/>
          </w:tcPr>
          <w:p>
            <w:pPr>
              <w:spacing w:after="40"/>
            </w:pPr>
            <w:r>
              <w:rPr>
                <w:b w:val="false"/>
                <w:bCs w:val="false"/>
                <w:sz w:val="19"/>
                <w:szCs w:val="19"/>
              </w:rPr>
              <w:t xml:space="preserve">Absent</w:t>
            </w:r>
          </w:p>
        </w:tc>
        <w:tc>
          <w:tcPr>
            <w:tcW w:type="dxa" w:w="2920"/>
          </w:tcPr>
          <w:p>
            <w:pPr>
              <w:spacing w:after="40"/>
            </w:pPr>
            <w:r>
              <w:rPr>
                <w:b w:val="false"/>
                <w:bCs w:val="false"/>
                <w:sz w:val="19"/>
                <w:szCs w:val="19"/>
              </w:rPr>
              <w:t xml:space="preserve">§4.2, §8 (Contract Execution state), §13</w:t>
            </w:r>
          </w:p>
        </w:tc>
      </w:tr>
      <w:tr>
        <w:tc>
          <w:tcPr>
            <w:tcW w:type="dxa" w:w="2400"/>
          </w:tcPr>
          <w:p>
            <w:pPr>
              <w:spacing w:after="40"/>
            </w:pPr>
            <w:r>
              <w:rPr>
                <w:b w:val="false"/>
                <w:bCs w:val="false"/>
                <w:sz w:val="19"/>
                <w:szCs w:val="19"/>
              </w:rPr>
              <w:t xml:space="preserve">9 — Missing Module: CRM lead funnel / commissions</w:t>
            </w:r>
          </w:p>
        </w:tc>
        <w:tc>
          <w:tcPr>
            <w:tcW w:type="dxa" w:w="4200"/>
          </w:tcPr>
          <w:p>
            <w:pPr>
              <w:spacing w:after="40"/>
            </w:pPr>
            <w:r>
              <w:rPr>
                <w:b w:val="false"/>
                <w:bCs w:val="false"/>
                <w:sz w:val="19"/>
                <w:szCs w:val="19"/>
              </w:rPr>
              <w:t xml:space="preserve">Named as integration only</w:t>
            </w:r>
          </w:p>
        </w:tc>
        <w:tc>
          <w:tcPr>
            <w:tcW w:type="dxa" w:w="2920"/>
          </w:tcPr>
          <w:p>
            <w:pPr>
              <w:spacing w:after="40"/>
            </w:pPr>
            <w:r>
              <w:rPr>
                <w:b w:val="false"/>
                <w:bCs w:val="false"/>
                <w:sz w:val="19"/>
                <w:szCs w:val="19"/>
              </w:rPr>
              <w:t xml:space="preserve">§4.2, §25 (build vs. integrate decision)</w:t>
            </w:r>
          </w:p>
        </w:tc>
      </w:tr>
      <w:tr>
        <w:tc>
          <w:tcPr>
            <w:tcW w:type="dxa" w:w="2400"/>
          </w:tcPr>
          <w:p>
            <w:pPr>
              <w:spacing w:after="40"/>
            </w:pPr>
            <w:r>
              <w:rPr>
                <w:b w:val="false"/>
                <w:bCs w:val="false"/>
                <w:sz w:val="19"/>
                <w:szCs w:val="19"/>
              </w:rPr>
              <w:t xml:space="preserve">9 — Missing Module: EHS incident management</w:t>
            </w:r>
          </w:p>
        </w:tc>
        <w:tc>
          <w:tcPr>
            <w:tcW w:type="dxa" w:w="4200"/>
          </w:tcPr>
          <w:p>
            <w:pPr>
              <w:spacing w:after="40"/>
            </w:pPr>
            <w:r>
              <w:rPr>
                <w:b w:val="false"/>
                <w:bCs w:val="false"/>
                <w:sz w:val="19"/>
                <w:szCs w:val="19"/>
              </w:rPr>
              <w:t xml:space="preserve">Site Diary line item only</w:t>
            </w:r>
          </w:p>
        </w:tc>
        <w:tc>
          <w:tcPr>
            <w:tcW w:type="dxa" w:w="2920"/>
          </w:tcPr>
          <w:p>
            <w:pPr>
              <w:spacing w:after="40"/>
            </w:pPr>
            <w:r>
              <w:rPr>
                <w:b w:val="false"/>
                <w:bCs w:val="false"/>
                <w:sz w:val="19"/>
                <w:szCs w:val="19"/>
              </w:rPr>
              <w:t xml:space="preserve">§4.2, §5.2 EHSIncident</w:t>
            </w:r>
          </w:p>
        </w:tc>
      </w:tr>
      <w:tr>
        <w:tc>
          <w:tcPr>
            <w:tcW w:type="dxa" w:w="2400"/>
          </w:tcPr>
          <w:p>
            <w:pPr>
              <w:spacing w:after="40"/>
            </w:pPr>
            <w:r>
              <w:rPr>
                <w:b w:val="false"/>
                <w:bCs w:val="false"/>
                <w:sz w:val="19"/>
                <w:szCs w:val="19"/>
              </w:rPr>
              <w:t xml:space="preserve">9 — Missing Module: Notification/event engine</w:t>
            </w:r>
          </w:p>
        </w:tc>
        <w:tc>
          <w:tcPr>
            <w:tcW w:type="dxa" w:w="4200"/>
          </w:tcPr>
          <w:p>
            <w:pPr>
              <w:spacing w:after="40"/>
            </w:pPr>
            <w:r>
              <w:rPr>
                <w:b w:val="false"/>
                <w:bCs w:val="false"/>
                <w:sz w:val="19"/>
                <w:szCs w:val="19"/>
              </w:rPr>
              <w:t xml:space="preserve">Absent</w:t>
            </w:r>
          </w:p>
        </w:tc>
        <w:tc>
          <w:tcPr>
            <w:tcW w:type="dxa" w:w="2920"/>
          </w:tcPr>
          <w:p>
            <w:pPr>
              <w:spacing w:after="40"/>
            </w:pPr>
            <w:r>
              <w:rPr>
                <w:b w:val="false"/>
                <w:bCs w:val="false"/>
                <w:sz w:val="19"/>
                <w:szCs w:val="19"/>
              </w:rPr>
              <w:t xml:space="preserve">§18 Event &amp; Notification Architecture</w:t>
            </w:r>
          </w:p>
        </w:tc>
      </w:tr>
      <w:tr>
        <w:tc>
          <w:tcPr>
            <w:tcW w:type="dxa" w:w="2400"/>
          </w:tcPr>
          <w:p>
            <w:pPr>
              <w:spacing w:after="40"/>
            </w:pPr>
            <w:r>
              <w:rPr>
                <w:b w:val="false"/>
                <w:bCs w:val="false"/>
                <w:sz w:val="19"/>
                <w:szCs w:val="19"/>
              </w:rPr>
              <w:t xml:space="preserve">9 — Missing Module: Reporting/OLAP layer</w:t>
            </w:r>
          </w:p>
        </w:tc>
        <w:tc>
          <w:tcPr>
            <w:tcW w:type="dxa" w:w="4200"/>
          </w:tcPr>
          <w:p>
            <w:pPr>
              <w:spacing w:after="40"/>
            </w:pPr>
            <w:r>
              <w:rPr>
                <w:b w:val="false"/>
                <w:bCs w:val="false"/>
                <w:sz w:val="19"/>
                <w:szCs w:val="19"/>
              </w:rPr>
              <w:t xml:space="preserve">Absent</w:t>
            </w:r>
          </w:p>
        </w:tc>
        <w:tc>
          <w:tcPr>
            <w:tcW w:type="dxa" w:w="2920"/>
          </w:tcPr>
          <w:p>
            <w:pPr>
              <w:spacing w:after="40"/>
            </w:pPr>
            <w:r>
              <w:rPr>
                <w:b w:val="false"/>
                <w:bCs w:val="false"/>
                <w:sz w:val="19"/>
                <w:szCs w:val="19"/>
              </w:rPr>
              <w:t xml:space="preserve">§19 Reporting &amp; Analytics Architecture</w:t>
            </w:r>
          </w:p>
        </w:tc>
      </w:tr>
      <w:tr>
        <w:tc>
          <w:tcPr>
            <w:tcW w:type="dxa" w:w="2400"/>
          </w:tcPr>
          <w:p>
            <w:pPr>
              <w:spacing w:after="40"/>
            </w:pPr>
            <w:r>
              <w:rPr>
                <w:b w:val="false"/>
                <w:bCs w:val="false"/>
                <w:sz w:val="19"/>
                <w:szCs w:val="19"/>
              </w:rPr>
              <w:t xml:space="preserve">11 — High-Priority 1</w:t>
            </w:r>
          </w:p>
        </w:tc>
        <w:tc>
          <w:tcPr>
            <w:tcW w:type="dxa" w:w="4200"/>
          </w:tcPr>
          <w:p>
            <w:pPr>
              <w:spacing w:after="40"/>
            </w:pPr>
            <w:r>
              <w:rPr>
                <w:b w:val="false"/>
                <w:bCs w:val="false"/>
                <w:sz w:val="19"/>
                <w:szCs w:val="19"/>
              </w:rPr>
              <w:t xml:space="preserve">DR topology with RTO/RPO</w:t>
            </w:r>
          </w:p>
        </w:tc>
        <w:tc>
          <w:tcPr>
            <w:tcW w:type="dxa" w:w="2920"/>
          </w:tcPr>
          <w:p>
            <w:pPr>
              <w:spacing w:after="40"/>
            </w:pPr>
            <w:r>
              <w:rPr>
                <w:b w:val="false"/>
                <w:bCs w:val="false"/>
                <w:sz w:val="19"/>
                <w:szCs w:val="19"/>
              </w:rPr>
              <w:t xml:space="preserve">§3.2</w:t>
            </w:r>
          </w:p>
        </w:tc>
      </w:tr>
      <w:tr>
        <w:tc>
          <w:tcPr>
            <w:tcW w:type="dxa" w:w="2400"/>
          </w:tcPr>
          <w:p>
            <w:pPr>
              <w:spacing w:after="40"/>
            </w:pPr>
            <w:r>
              <w:rPr>
                <w:b w:val="false"/>
                <w:bCs w:val="false"/>
                <w:sz w:val="19"/>
                <w:szCs w:val="19"/>
              </w:rPr>
              <w:t xml:space="preserve">11 — High-Priority 2</w:t>
            </w:r>
          </w:p>
        </w:tc>
        <w:tc>
          <w:tcPr>
            <w:tcW w:type="dxa" w:w="4200"/>
          </w:tcPr>
          <w:p>
            <w:pPr>
              <w:spacing w:after="40"/>
            </w:pPr>
            <w:r>
              <w:rPr>
                <w:b w:val="false"/>
                <w:bCs w:val="false"/>
                <w:sz w:val="19"/>
                <w:szCs w:val="19"/>
              </w:rPr>
              <w:t xml:space="preserve">Key/secrets-management layer</w:t>
            </w:r>
          </w:p>
        </w:tc>
        <w:tc>
          <w:tcPr>
            <w:tcW w:type="dxa" w:w="2920"/>
          </w:tcPr>
          <w:p>
            <w:pPr>
              <w:spacing w:after="40"/>
            </w:pPr>
            <w:r>
              <w:rPr>
                <w:b w:val="false"/>
                <w:bCs w:val="false"/>
                <w:sz w:val="19"/>
                <w:szCs w:val="19"/>
              </w:rPr>
              <w:t xml:space="preserve">§3.3, §15.1</w:t>
            </w:r>
          </w:p>
        </w:tc>
      </w:tr>
      <w:tr>
        <w:tc>
          <w:tcPr>
            <w:tcW w:type="dxa" w:w="2400"/>
          </w:tcPr>
          <w:p>
            <w:pPr>
              <w:spacing w:after="40"/>
            </w:pPr>
            <w:r>
              <w:rPr>
                <w:b w:val="false"/>
                <w:bCs w:val="false"/>
                <w:sz w:val="19"/>
                <w:szCs w:val="19"/>
              </w:rPr>
              <w:t xml:space="preserve">11 — High-Priority 3</w:t>
            </w:r>
          </w:p>
        </w:tc>
        <w:tc>
          <w:tcPr>
            <w:tcW w:type="dxa" w:w="4200"/>
          </w:tcPr>
          <w:p>
            <w:pPr>
              <w:spacing w:after="40"/>
            </w:pPr>
            <w:r>
              <w:rPr>
                <w:b w:val="false"/>
                <w:bCs w:val="false"/>
                <w:sz w:val="19"/>
                <w:szCs w:val="19"/>
              </w:rPr>
              <w:t xml:space="preserve">Explicit AI hosting decision</w:t>
            </w:r>
          </w:p>
        </w:tc>
        <w:tc>
          <w:tcPr>
            <w:tcW w:type="dxa" w:w="2920"/>
          </w:tcPr>
          <w:p>
            <w:pPr>
              <w:spacing w:after="40"/>
            </w:pPr>
            <w:r>
              <w:rPr>
                <w:b w:val="false"/>
                <w:bCs w:val="false"/>
                <w:sz w:val="19"/>
                <w:szCs w:val="19"/>
              </w:rPr>
              <w:t xml:space="preserve">§17.1, §25</w:t>
            </w:r>
          </w:p>
        </w:tc>
      </w:tr>
      <w:tr>
        <w:tc>
          <w:tcPr>
            <w:tcW w:type="dxa" w:w="2400"/>
          </w:tcPr>
          <w:p>
            <w:pPr>
              <w:spacing w:after="40"/>
            </w:pPr>
            <w:r>
              <w:rPr>
                <w:b w:val="false"/>
                <w:bCs w:val="false"/>
                <w:sz w:val="19"/>
                <w:szCs w:val="19"/>
              </w:rPr>
              <w:t xml:space="preserve">11 — High-Priority 4</w:t>
            </w:r>
          </w:p>
        </w:tc>
        <w:tc>
          <w:tcPr>
            <w:tcW w:type="dxa" w:w="4200"/>
          </w:tcPr>
          <w:p>
            <w:pPr>
              <w:spacing w:after="40"/>
            </w:pPr>
            <w:r>
              <w:rPr>
                <w:b w:val="false"/>
                <w:bCs w:val="false"/>
                <w:sz w:val="19"/>
                <w:szCs w:val="19"/>
              </w:rPr>
              <w:t xml:space="preserve">Vendor/contractor KYC workflow</w:t>
            </w:r>
          </w:p>
        </w:tc>
        <w:tc>
          <w:tcPr>
            <w:tcW w:type="dxa" w:w="2920"/>
          </w:tcPr>
          <w:p>
            <w:pPr>
              <w:spacing w:after="40"/>
            </w:pPr>
            <w:r>
              <w:rPr>
                <w:b w:val="false"/>
                <w:bCs w:val="false"/>
                <w:sz w:val="19"/>
                <w:szCs w:val="19"/>
              </w:rPr>
              <w:t xml:space="preserve">§11</w:t>
            </w:r>
          </w:p>
        </w:tc>
      </w:tr>
      <w:tr>
        <w:tc>
          <w:tcPr>
            <w:tcW w:type="dxa" w:w="2400"/>
          </w:tcPr>
          <w:p>
            <w:pPr>
              <w:spacing w:after="40"/>
            </w:pPr>
            <w:r>
              <w:rPr>
                <w:b w:val="false"/>
                <w:bCs w:val="false"/>
                <w:sz w:val="19"/>
                <w:szCs w:val="19"/>
              </w:rPr>
              <w:t xml:space="preserve">11 — High-Priority 5</w:t>
            </w:r>
          </w:p>
        </w:tc>
        <w:tc>
          <w:tcPr>
            <w:tcW w:type="dxa" w:w="4200"/>
          </w:tcPr>
          <w:p>
            <w:pPr>
              <w:spacing w:after="40"/>
            </w:pPr>
            <w:r>
              <w:rPr>
                <w:b w:val="false"/>
                <w:bCs w:val="false"/>
                <w:sz w:val="19"/>
                <w:szCs w:val="19"/>
              </w:rPr>
              <w:t xml:space="preserve">E-signature integration</w:t>
            </w:r>
          </w:p>
        </w:tc>
        <w:tc>
          <w:tcPr>
            <w:tcW w:type="dxa" w:w="2920"/>
          </w:tcPr>
          <w:p>
            <w:pPr>
              <w:spacing w:after="40"/>
            </w:pPr>
            <w:r>
              <w:rPr>
                <w:b w:val="false"/>
                <w:bCs w:val="false"/>
                <w:sz w:val="19"/>
                <w:szCs w:val="19"/>
              </w:rPr>
              <w:t xml:space="preserve">§8, §13</w:t>
            </w:r>
          </w:p>
        </w:tc>
      </w:tr>
      <w:tr>
        <w:tc>
          <w:tcPr>
            <w:tcW w:type="dxa" w:w="2400"/>
          </w:tcPr>
          <w:p>
            <w:pPr>
              <w:spacing w:after="40"/>
            </w:pPr>
            <w:r>
              <w:rPr>
                <w:b w:val="false"/>
                <w:bCs w:val="false"/>
                <w:sz w:val="19"/>
                <w:szCs w:val="19"/>
              </w:rPr>
              <w:t xml:space="preserve">12 — Medium 1</w:t>
            </w:r>
          </w:p>
        </w:tc>
        <w:tc>
          <w:tcPr>
            <w:tcW w:type="dxa" w:w="4200"/>
          </w:tcPr>
          <w:p>
            <w:pPr>
              <w:spacing w:after="40"/>
            </w:pPr>
            <w:r>
              <w:rPr>
                <w:b w:val="false"/>
                <w:bCs w:val="false"/>
                <w:sz w:val="19"/>
                <w:szCs w:val="19"/>
              </w:rPr>
              <w:t xml:space="preserve">RFI/NCR as first-class objects</w:t>
            </w:r>
          </w:p>
        </w:tc>
        <w:tc>
          <w:tcPr>
            <w:tcW w:type="dxa" w:w="2920"/>
          </w:tcPr>
          <w:p>
            <w:pPr>
              <w:spacing w:after="40"/>
            </w:pPr>
            <w:r>
              <w:rPr>
                <w:b w:val="false"/>
                <w:bCs w:val="false"/>
                <w:sz w:val="19"/>
                <w:szCs w:val="19"/>
              </w:rPr>
              <w:t xml:space="preserve">§12</w:t>
            </w:r>
          </w:p>
        </w:tc>
      </w:tr>
      <w:tr>
        <w:tc>
          <w:tcPr>
            <w:tcW w:type="dxa" w:w="2400"/>
          </w:tcPr>
          <w:p>
            <w:pPr>
              <w:spacing w:after="40"/>
            </w:pPr>
            <w:r>
              <w:rPr>
                <w:b w:val="false"/>
                <w:bCs w:val="false"/>
                <w:sz w:val="19"/>
                <w:szCs w:val="19"/>
              </w:rPr>
              <w:t xml:space="preserve">12 — Medium 2</w:t>
            </w:r>
          </w:p>
        </w:tc>
        <w:tc>
          <w:tcPr>
            <w:tcW w:type="dxa" w:w="4200"/>
          </w:tcPr>
          <w:p>
            <w:pPr>
              <w:spacing w:after="40"/>
            </w:pPr>
            <w:r>
              <w:rPr>
                <w:b w:val="false"/>
                <w:bCs w:val="false"/>
                <w:sz w:val="19"/>
                <w:szCs w:val="19"/>
              </w:rPr>
              <w:t xml:space="preserve">Event/notification layer</w:t>
            </w:r>
          </w:p>
        </w:tc>
        <w:tc>
          <w:tcPr>
            <w:tcW w:type="dxa" w:w="2920"/>
          </w:tcPr>
          <w:p>
            <w:pPr>
              <w:spacing w:after="40"/>
            </w:pPr>
            <w:r>
              <w:rPr>
                <w:b w:val="false"/>
                <w:bCs w:val="false"/>
                <w:sz w:val="19"/>
                <w:szCs w:val="19"/>
              </w:rPr>
              <w:t xml:space="preserve">§18</w:t>
            </w:r>
          </w:p>
        </w:tc>
      </w:tr>
      <w:tr>
        <w:tc>
          <w:tcPr>
            <w:tcW w:type="dxa" w:w="2400"/>
          </w:tcPr>
          <w:p>
            <w:pPr>
              <w:spacing w:after="40"/>
            </w:pPr>
            <w:r>
              <w:rPr>
                <w:b w:val="false"/>
                <w:bCs w:val="false"/>
                <w:sz w:val="19"/>
                <w:szCs w:val="19"/>
              </w:rPr>
              <w:t xml:space="preserve">12 — Medium 3</w:t>
            </w:r>
          </w:p>
        </w:tc>
        <w:tc>
          <w:tcPr>
            <w:tcW w:type="dxa" w:w="4200"/>
          </w:tcPr>
          <w:p>
            <w:pPr>
              <w:spacing w:after="40"/>
            </w:pPr>
            <w:r>
              <w:rPr>
                <w:b w:val="false"/>
                <w:bCs w:val="false"/>
                <w:sz w:val="19"/>
                <w:szCs w:val="19"/>
              </w:rPr>
              <w:t xml:space="preserve">Reporting layer / read replica</w:t>
            </w:r>
          </w:p>
        </w:tc>
        <w:tc>
          <w:tcPr>
            <w:tcW w:type="dxa" w:w="2920"/>
          </w:tcPr>
          <w:p>
            <w:pPr>
              <w:spacing w:after="40"/>
            </w:pPr>
            <w:r>
              <w:rPr>
                <w:b w:val="false"/>
                <w:bCs w:val="false"/>
                <w:sz w:val="19"/>
                <w:szCs w:val="19"/>
              </w:rPr>
              <w:t xml:space="preserve">§19</w:t>
            </w:r>
          </w:p>
        </w:tc>
      </w:tr>
      <w:tr>
        <w:tc>
          <w:tcPr>
            <w:tcW w:type="dxa" w:w="2400"/>
          </w:tcPr>
          <w:p>
            <w:pPr>
              <w:spacing w:after="40"/>
            </w:pPr>
            <w:r>
              <w:rPr>
                <w:b w:val="false"/>
                <w:bCs w:val="false"/>
                <w:sz w:val="19"/>
                <w:szCs w:val="19"/>
              </w:rPr>
              <w:t xml:space="preserve">12 — Medium 4</w:t>
            </w:r>
          </w:p>
        </w:tc>
        <w:tc>
          <w:tcPr>
            <w:tcW w:type="dxa" w:w="4200"/>
          </w:tcPr>
          <w:p>
            <w:pPr>
              <w:spacing w:after="40"/>
            </w:pPr>
            <w:r>
              <w:rPr>
                <w:b w:val="false"/>
                <w:bCs w:val="false"/>
                <w:sz w:val="19"/>
                <w:szCs w:val="19"/>
              </w:rPr>
              <w:t xml:space="preserve">CI/CD and staging before Phase 1</w:t>
            </w:r>
          </w:p>
        </w:tc>
        <w:tc>
          <w:tcPr>
            <w:tcW w:type="dxa" w:w="2920"/>
          </w:tcPr>
          <w:p>
            <w:pPr>
              <w:spacing w:after="40"/>
            </w:pPr>
            <w:r>
              <w:rPr>
                <w:b w:val="false"/>
                <w:bCs w:val="false"/>
                <w:sz w:val="19"/>
                <w:szCs w:val="19"/>
              </w:rPr>
              <w:t xml:space="preserve">§22</w:t>
            </w:r>
          </w:p>
        </w:tc>
      </w:tr>
      <w:tr>
        <w:tc>
          <w:tcPr>
            <w:tcW w:type="dxa" w:w="2400"/>
          </w:tcPr>
          <w:p>
            <w:pPr>
              <w:spacing w:after="40"/>
            </w:pPr>
            <w:r>
              <w:rPr>
                <w:b w:val="false"/>
                <w:bCs w:val="false"/>
                <w:sz w:val="19"/>
                <w:szCs w:val="19"/>
              </w:rPr>
              <w:t xml:space="preserve">12 — Medium 5</w:t>
            </w:r>
          </w:p>
        </w:tc>
        <w:tc>
          <w:tcPr>
            <w:tcW w:type="dxa" w:w="4200"/>
          </w:tcPr>
          <w:p>
            <w:pPr>
              <w:spacing w:after="40"/>
            </w:pPr>
            <w:r>
              <w:rPr>
                <w:b w:val="false"/>
                <w:bCs w:val="false"/>
                <w:sz w:val="19"/>
                <w:szCs w:val="19"/>
              </w:rPr>
              <w:t xml:space="preserve">Insurance and labour-compliance tracking</w:t>
            </w:r>
          </w:p>
        </w:tc>
        <w:tc>
          <w:tcPr>
            <w:tcW w:type="dxa" w:w="2920"/>
          </w:tcPr>
          <w:p>
            <w:pPr>
              <w:spacing w:after="40"/>
            </w:pPr>
            <w:r>
              <w:rPr>
                <w:b w:val="false"/>
                <w:bCs w:val="false"/>
                <w:sz w:val="19"/>
                <w:szCs w:val="19"/>
              </w:rPr>
              <w:t xml:space="preserve">§4.2, §5.2</w:t>
            </w:r>
          </w:p>
        </w:tc>
      </w:tr>
      <w:tr>
        <w:tc>
          <w:tcPr>
            <w:tcW w:type="dxa" w:w="2400"/>
          </w:tcPr>
          <w:p>
            <w:pPr>
              <w:spacing w:after="40"/>
            </w:pPr>
            <w:r>
              <w:rPr>
                <w:b w:val="false"/>
                <w:bCs w:val="false"/>
                <w:sz w:val="19"/>
                <w:szCs w:val="19"/>
              </w:rPr>
              <w:t xml:space="preserve">13 — Low 1–3</w:t>
            </w:r>
          </w:p>
        </w:tc>
        <w:tc>
          <w:tcPr>
            <w:tcW w:type="dxa" w:w="4200"/>
          </w:tcPr>
          <w:p>
            <w:pPr>
              <w:spacing w:after="40"/>
            </w:pPr>
            <w:r>
              <w:rPr>
                <w:b w:val="false"/>
                <w:bCs w:val="false"/>
                <w:sz w:val="19"/>
                <w:szCs w:val="19"/>
              </w:rPr>
              <w:t xml:space="preserve">Multi-language, multi-currency, IoT/drone/CV</w:t>
            </w:r>
          </w:p>
        </w:tc>
        <w:tc>
          <w:tcPr>
            <w:tcW w:type="dxa" w:w="2920"/>
          </w:tcPr>
          <w:p>
            <w:pPr>
              <w:spacing w:after="40"/>
            </w:pPr>
            <w:r>
              <w:rPr>
                <w:b w:val="false"/>
                <w:bCs w:val="false"/>
                <w:sz w:val="19"/>
                <w:szCs w:val="19"/>
              </w:rPr>
              <w:t xml:space="preserve">§23 Deferred Items (intentionally not pulled forward)</w:t>
            </w:r>
          </w:p>
        </w:tc>
      </w:tr>
      <w:tr>
        <w:tc>
          <w:tcPr>
            <w:tcW w:type="dxa" w:w="2400"/>
          </w:tcPr>
          <w:p>
            <w:pPr>
              <w:spacing w:after="40"/>
            </w:pPr>
            <w:r>
              <w:rPr>
                <w:b w:val="false"/>
                <w:bCs w:val="false"/>
                <w:sz w:val="19"/>
                <w:szCs w:val="19"/>
              </w:rPr>
              <w:t xml:space="preserve">14 — Technical Debt</w:t>
            </w:r>
          </w:p>
        </w:tc>
        <w:tc>
          <w:tcPr>
            <w:tcW w:type="dxa" w:w="4200"/>
          </w:tcPr>
          <w:p>
            <w:pPr>
              <w:spacing w:after="40"/>
            </w:pPr>
            <w:r>
              <w:rPr>
                <w:b w:val="false"/>
                <w:bCs w:val="false"/>
                <w:sz w:val="19"/>
                <w:szCs w:val="19"/>
              </w:rPr>
              <w:t xml:space="preserve">No testing/CI/CD/module-contract discipline</w:t>
            </w:r>
          </w:p>
        </w:tc>
        <w:tc>
          <w:tcPr>
            <w:tcW w:type="dxa" w:w="2920"/>
          </w:tcPr>
          <w:p>
            <w:pPr>
              <w:spacing w:after="40"/>
            </w:pPr>
            <w:r>
              <w:rPr>
                <w:b w:val="false"/>
                <w:bCs w:val="false"/>
                <w:sz w:val="19"/>
                <w:szCs w:val="19"/>
              </w:rPr>
              <w:t xml:space="preserve">§22</w:t>
            </w:r>
          </w:p>
        </w:tc>
      </w:tr>
      <w:tr>
        <w:tc>
          <w:tcPr>
            <w:tcW w:type="dxa" w:w="2400"/>
          </w:tcPr>
          <w:p>
            <w:pPr>
              <w:spacing w:after="40"/>
            </w:pPr>
            <w:r>
              <w:rPr>
                <w:b w:val="false"/>
                <w:bCs w:val="false"/>
                <w:sz w:val="19"/>
                <w:szCs w:val="19"/>
              </w:rPr>
              <w:t xml:space="preserve">15 — Tech Change 1</w:t>
            </w:r>
          </w:p>
        </w:tc>
        <w:tc>
          <w:tcPr>
            <w:tcW w:type="dxa" w:w="4200"/>
          </w:tcPr>
          <w:p>
            <w:pPr>
              <w:spacing w:after="40"/>
            </w:pPr>
            <w:r>
              <w:rPr>
                <w:b w:val="false"/>
                <w:bCs w:val="false"/>
                <w:sz w:val="19"/>
                <w:szCs w:val="19"/>
              </w:rPr>
              <w:t xml:space="preserve">Queueing layer for background workers</w:t>
            </w:r>
          </w:p>
        </w:tc>
        <w:tc>
          <w:tcPr>
            <w:tcW w:type="dxa" w:w="2920"/>
          </w:tcPr>
          <w:p>
            <w:pPr>
              <w:spacing w:after="40"/>
            </w:pPr>
            <w:r>
              <w:rPr>
                <w:b w:val="false"/>
                <w:bCs w:val="false"/>
                <w:sz w:val="19"/>
                <w:szCs w:val="19"/>
              </w:rPr>
              <w:t xml:space="preserve">§7.1</w:t>
            </w:r>
          </w:p>
        </w:tc>
      </w:tr>
      <w:tr>
        <w:tc>
          <w:tcPr>
            <w:tcW w:type="dxa" w:w="2400"/>
          </w:tcPr>
          <w:p>
            <w:pPr>
              <w:spacing w:after="40"/>
            </w:pPr>
            <w:r>
              <w:rPr>
                <w:b w:val="false"/>
                <w:bCs w:val="false"/>
                <w:sz w:val="19"/>
                <w:szCs w:val="19"/>
              </w:rPr>
              <w:t xml:space="preserve">15 — Tech Change 2</w:t>
            </w:r>
          </w:p>
        </w:tc>
        <w:tc>
          <w:tcPr>
            <w:tcW w:type="dxa" w:w="4200"/>
          </w:tcPr>
          <w:p>
            <w:pPr>
              <w:spacing w:after="40"/>
            </w:pPr>
            <w:r>
              <w:rPr>
                <w:b w:val="false"/>
                <w:bCs w:val="false"/>
                <w:sz w:val="19"/>
                <w:szCs w:val="19"/>
              </w:rPr>
              <w:t xml:space="preserve">Customer-managed encryption keys</w:t>
            </w:r>
          </w:p>
        </w:tc>
        <w:tc>
          <w:tcPr>
            <w:tcW w:type="dxa" w:w="2920"/>
          </w:tcPr>
          <w:p>
            <w:pPr>
              <w:spacing w:after="40"/>
            </w:pPr>
            <w:r>
              <w:rPr>
                <w:b w:val="false"/>
                <w:bCs w:val="false"/>
                <w:sz w:val="19"/>
                <w:szCs w:val="19"/>
              </w:rPr>
              <w:t xml:space="preserve">§3.3</w:t>
            </w:r>
          </w:p>
        </w:tc>
      </w:tr>
      <w:tr>
        <w:tc>
          <w:tcPr>
            <w:tcW w:type="dxa" w:w="2400"/>
          </w:tcPr>
          <w:p>
            <w:pPr>
              <w:spacing w:after="40"/>
            </w:pPr>
            <w:r>
              <w:rPr>
                <w:b w:val="false"/>
                <w:bCs w:val="false"/>
                <w:sz w:val="19"/>
                <w:szCs w:val="19"/>
              </w:rPr>
              <w:t xml:space="preserve">15 — Tech Change 3</w:t>
            </w:r>
          </w:p>
        </w:tc>
        <w:tc>
          <w:tcPr>
            <w:tcW w:type="dxa" w:w="4200"/>
          </w:tcPr>
          <w:p>
            <w:pPr>
              <w:spacing w:after="40"/>
            </w:pPr>
            <w:r>
              <w:rPr>
                <w:b w:val="false"/>
                <w:bCs w:val="false"/>
                <w:sz w:val="19"/>
                <w:szCs w:val="19"/>
              </w:rPr>
              <w:t xml:space="preserve">Message bus for workflow events</w:t>
            </w:r>
          </w:p>
        </w:tc>
        <w:tc>
          <w:tcPr>
            <w:tcW w:type="dxa" w:w="2920"/>
          </w:tcPr>
          <w:p>
            <w:pPr>
              <w:spacing w:after="40"/>
            </w:pPr>
            <w:r>
              <w:rPr>
                <w:b w:val="false"/>
                <w:bCs w:val="false"/>
                <w:sz w:val="19"/>
                <w:szCs w:val="19"/>
              </w:rPr>
              <w:t xml:space="preserve">§7.1, §18</w:t>
            </w:r>
          </w:p>
        </w:tc>
      </w:tr>
      <w:tr>
        <w:tc>
          <w:tcPr>
            <w:tcW w:type="dxa" w:w="2400"/>
          </w:tcPr>
          <w:p>
            <w:pPr>
              <w:spacing w:after="40"/>
            </w:pPr>
            <w:r>
              <w:rPr>
                <w:b w:val="false"/>
                <w:bCs w:val="false"/>
                <w:sz w:val="19"/>
                <w:szCs w:val="19"/>
              </w:rPr>
              <w:t xml:space="preserve">16 — Data Model 1–4</w:t>
            </w:r>
          </w:p>
        </w:tc>
        <w:tc>
          <w:tcPr>
            <w:tcW w:type="dxa" w:w="4200"/>
          </w:tcPr>
          <w:p>
            <w:pPr>
              <w:spacing w:after="40"/>
            </w:pPr>
            <w:r>
              <w:rPr>
                <w:b w:val="false"/>
                <w:bCs w:val="false"/>
                <w:sz w:val="19"/>
                <w:szCs w:val="19"/>
              </w:rPr>
              <w:t xml:space="preserve">VendorOnboarding/KYC/Insurance/Labour, RFI/NCR, CostCode, hash-chained AuditEvent</w:t>
            </w:r>
          </w:p>
        </w:tc>
        <w:tc>
          <w:tcPr>
            <w:tcW w:type="dxa" w:w="2920"/>
          </w:tcPr>
          <w:p>
            <w:pPr>
              <w:spacing w:after="40"/>
            </w:pPr>
            <w:r>
              <w:rPr>
                <w:b w:val="false"/>
                <w:bCs w:val="false"/>
                <w:sz w:val="19"/>
                <w:szCs w:val="19"/>
              </w:rPr>
              <w:t xml:space="preserve">§5.2</w:t>
            </w:r>
          </w:p>
        </w:tc>
      </w:tr>
      <w:tr>
        <w:tc>
          <w:tcPr>
            <w:tcW w:type="dxa" w:w="2400"/>
          </w:tcPr>
          <w:p>
            <w:pPr>
              <w:spacing w:after="40"/>
            </w:pPr>
            <w:r>
              <w:rPr>
                <w:b w:val="false"/>
                <w:bCs w:val="false"/>
                <w:sz w:val="19"/>
                <w:szCs w:val="19"/>
              </w:rPr>
              <w:t xml:space="preserve">17 — Workflow Change 1</w:t>
            </w:r>
          </w:p>
        </w:tc>
        <w:tc>
          <w:tcPr>
            <w:tcW w:type="dxa" w:w="4200"/>
          </w:tcPr>
          <w:p>
            <w:pPr>
              <w:spacing w:after="40"/>
            </w:pPr>
            <w:r>
              <w:rPr>
                <w:b w:val="false"/>
                <w:bCs w:val="false"/>
                <w:sz w:val="19"/>
                <w:szCs w:val="19"/>
              </w:rPr>
              <w:t xml:space="preserve">Vendor Onboarding workflow</w:t>
            </w:r>
          </w:p>
        </w:tc>
        <w:tc>
          <w:tcPr>
            <w:tcW w:type="dxa" w:w="2920"/>
          </w:tcPr>
          <w:p>
            <w:pPr>
              <w:spacing w:after="40"/>
            </w:pPr>
            <w:r>
              <w:rPr>
                <w:b w:val="false"/>
                <w:bCs w:val="false"/>
                <w:sz w:val="19"/>
                <w:szCs w:val="19"/>
              </w:rPr>
              <w:t xml:space="preserve">§11</w:t>
            </w:r>
          </w:p>
        </w:tc>
      </w:tr>
      <w:tr>
        <w:tc>
          <w:tcPr>
            <w:tcW w:type="dxa" w:w="2400"/>
          </w:tcPr>
          <w:p>
            <w:pPr>
              <w:spacing w:after="40"/>
            </w:pPr>
            <w:r>
              <w:rPr>
                <w:b w:val="false"/>
                <w:bCs w:val="false"/>
                <w:sz w:val="19"/>
                <w:szCs w:val="19"/>
              </w:rPr>
              <w:t xml:space="preserve">17 — Workflow Change 2</w:t>
            </w:r>
          </w:p>
        </w:tc>
        <w:tc>
          <w:tcPr>
            <w:tcW w:type="dxa" w:w="4200"/>
          </w:tcPr>
          <w:p>
            <w:pPr>
              <w:spacing w:after="40"/>
            </w:pPr>
            <w:r>
              <w:rPr>
                <w:b w:val="false"/>
                <w:bCs w:val="false"/>
                <w:sz w:val="19"/>
                <w:szCs w:val="19"/>
              </w:rPr>
              <w:t xml:space="preserve">RFI workflow with SLA</w:t>
            </w:r>
          </w:p>
        </w:tc>
        <w:tc>
          <w:tcPr>
            <w:tcW w:type="dxa" w:w="2920"/>
          </w:tcPr>
          <w:p>
            <w:pPr>
              <w:spacing w:after="40"/>
            </w:pPr>
            <w:r>
              <w:rPr>
                <w:b w:val="false"/>
                <w:bCs w:val="false"/>
                <w:sz w:val="19"/>
                <w:szCs w:val="19"/>
              </w:rPr>
              <w:t xml:space="preserve">§12</w:t>
            </w:r>
          </w:p>
        </w:tc>
      </w:tr>
      <w:tr>
        <w:tc>
          <w:tcPr>
            <w:tcW w:type="dxa" w:w="2400"/>
          </w:tcPr>
          <w:p>
            <w:pPr>
              <w:spacing w:after="40"/>
            </w:pPr>
            <w:r>
              <w:rPr>
                <w:b w:val="false"/>
                <w:bCs w:val="false"/>
                <w:sz w:val="19"/>
                <w:szCs w:val="19"/>
              </w:rPr>
              <w:t xml:space="preserve">17 — Workflow Change 3</w:t>
            </w:r>
          </w:p>
        </w:tc>
        <w:tc>
          <w:tcPr>
            <w:tcW w:type="dxa" w:w="4200"/>
          </w:tcPr>
          <w:p>
            <w:pPr>
              <w:spacing w:after="40"/>
            </w:pPr>
            <w:r>
              <w:rPr>
                <w:b w:val="false"/>
                <w:bCs w:val="false"/>
                <w:sz w:val="19"/>
                <w:szCs w:val="19"/>
              </w:rPr>
              <w:t xml:space="preserve">Contract Execution state</w:t>
            </w:r>
          </w:p>
        </w:tc>
        <w:tc>
          <w:tcPr>
            <w:tcW w:type="dxa" w:w="2920"/>
          </w:tcPr>
          <w:p>
            <w:pPr>
              <w:spacing w:after="40"/>
            </w:pPr>
            <w:r>
              <w:rPr>
                <w:b w:val="false"/>
                <w:bCs w:val="false"/>
                <w:sz w:val="19"/>
                <w:szCs w:val="19"/>
              </w:rPr>
              <w:t xml:space="preserve">§8</w:t>
            </w:r>
          </w:p>
        </w:tc>
      </w:tr>
      <w:tr>
        <w:tc>
          <w:tcPr>
            <w:tcW w:type="dxa" w:w="2400"/>
          </w:tcPr>
          <w:p>
            <w:pPr>
              <w:spacing w:after="40"/>
            </w:pPr>
            <w:r>
              <w:rPr>
                <w:b w:val="false"/>
                <w:bCs w:val="false"/>
                <w:sz w:val="19"/>
                <w:szCs w:val="19"/>
              </w:rPr>
              <w:t xml:space="preserve">18 — Security 1</w:t>
            </w:r>
          </w:p>
        </w:tc>
        <w:tc>
          <w:tcPr>
            <w:tcW w:type="dxa" w:w="4200"/>
          </w:tcPr>
          <w:p>
            <w:pPr>
              <w:spacing w:after="40"/>
            </w:pPr>
            <w:r>
              <w:rPr>
                <w:b w:val="false"/>
                <w:bCs w:val="false"/>
                <w:sz w:val="19"/>
                <w:szCs w:val="19"/>
              </w:rPr>
              <w:t xml:space="preserve">KMS/HSM key management</w:t>
            </w:r>
          </w:p>
        </w:tc>
        <w:tc>
          <w:tcPr>
            <w:tcW w:type="dxa" w:w="2920"/>
          </w:tcPr>
          <w:p>
            <w:pPr>
              <w:spacing w:after="40"/>
            </w:pPr>
            <w:r>
              <w:rPr>
                <w:b w:val="false"/>
                <w:bCs w:val="false"/>
                <w:sz w:val="19"/>
                <w:szCs w:val="19"/>
              </w:rPr>
              <w:t xml:space="preserve">§3.3, §15.1</w:t>
            </w:r>
          </w:p>
        </w:tc>
      </w:tr>
      <w:tr>
        <w:tc>
          <w:tcPr>
            <w:tcW w:type="dxa" w:w="2400"/>
          </w:tcPr>
          <w:p>
            <w:pPr>
              <w:spacing w:after="40"/>
            </w:pPr>
            <w:r>
              <w:rPr>
                <w:b w:val="false"/>
                <w:bCs w:val="false"/>
                <w:sz w:val="19"/>
                <w:szCs w:val="19"/>
              </w:rPr>
              <w:t xml:space="preserve">18 — Security 2</w:t>
            </w:r>
          </w:p>
        </w:tc>
        <w:tc>
          <w:tcPr>
            <w:tcW w:type="dxa" w:w="4200"/>
          </w:tcPr>
          <w:p>
            <w:pPr>
              <w:spacing w:after="40"/>
            </w:pPr>
            <w:r>
              <w:rPr>
                <w:b w:val="false"/>
                <w:bCs w:val="false"/>
                <w:sz w:val="19"/>
                <w:szCs w:val="19"/>
              </w:rPr>
              <w:t xml:space="preserve">WAF and rate limiting</w:t>
            </w:r>
          </w:p>
        </w:tc>
        <w:tc>
          <w:tcPr>
            <w:tcW w:type="dxa" w:w="2920"/>
          </w:tcPr>
          <w:p>
            <w:pPr>
              <w:spacing w:after="40"/>
            </w:pPr>
            <w:r>
              <w:rPr>
                <w:b w:val="false"/>
                <w:bCs w:val="false"/>
                <w:sz w:val="19"/>
                <w:szCs w:val="19"/>
              </w:rPr>
              <w:t xml:space="preserve">§15.1</w:t>
            </w:r>
          </w:p>
        </w:tc>
      </w:tr>
      <w:tr>
        <w:tc>
          <w:tcPr>
            <w:tcW w:type="dxa" w:w="2400"/>
          </w:tcPr>
          <w:p>
            <w:pPr>
              <w:spacing w:after="40"/>
            </w:pPr>
            <w:r>
              <w:rPr>
                <w:b w:val="false"/>
                <w:bCs w:val="false"/>
                <w:sz w:val="19"/>
                <w:szCs w:val="19"/>
              </w:rPr>
              <w:t xml:space="preserve">18 — Security 3</w:t>
            </w:r>
          </w:p>
        </w:tc>
        <w:tc>
          <w:tcPr>
            <w:tcW w:type="dxa" w:w="4200"/>
          </w:tcPr>
          <w:p>
            <w:pPr>
              <w:spacing w:after="40"/>
            </w:pPr>
            <w:r>
              <w:rPr>
                <w:b w:val="false"/>
                <w:bCs w:val="false"/>
                <w:sz w:val="19"/>
                <w:szCs w:val="19"/>
              </w:rPr>
              <w:t xml:space="preserve">Incident-response runbook</w:t>
            </w:r>
          </w:p>
        </w:tc>
        <w:tc>
          <w:tcPr>
            <w:tcW w:type="dxa" w:w="2920"/>
          </w:tcPr>
          <w:p>
            <w:pPr>
              <w:spacing w:after="40"/>
            </w:pPr>
            <w:r>
              <w:rPr>
                <w:b w:val="false"/>
                <w:bCs w:val="false"/>
                <w:sz w:val="19"/>
                <w:szCs w:val="19"/>
              </w:rPr>
              <w:t xml:space="preserve">§15.1</w:t>
            </w:r>
          </w:p>
        </w:tc>
      </w:tr>
      <w:tr>
        <w:tc>
          <w:tcPr>
            <w:tcW w:type="dxa" w:w="2400"/>
          </w:tcPr>
          <w:p>
            <w:pPr>
              <w:spacing w:after="40"/>
            </w:pPr>
            <w:r>
              <w:rPr>
                <w:b w:val="false"/>
                <w:bCs w:val="false"/>
                <w:sz w:val="19"/>
                <w:szCs w:val="19"/>
              </w:rPr>
              <w:t xml:space="preserve">18 — Security 4</w:t>
            </w:r>
          </w:p>
        </w:tc>
        <w:tc>
          <w:tcPr>
            <w:tcW w:type="dxa" w:w="4200"/>
          </w:tcPr>
          <w:p>
            <w:pPr>
              <w:spacing w:after="40"/>
            </w:pPr>
            <w:r>
              <w:rPr>
                <w:b w:val="false"/>
                <w:bCs w:val="false"/>
                <w:sz w:val="19"/>
                <w:szCs w:val="19"/>
              </w:rPr>
              <w:t xml:space="preserve">Anti-leakage beyond static watermark</w:t>
            </w:r>
          </w:p>
        </w:tc>
        <w:tc>
          <w:tcPr>
            <w:tcW w:type="dxa" w:w="2920"/>
          </w:tcPr>
          <w:p>
            <w:pPr>
              <w:spacing w:after="40"/>
            </w:pPr>
            <w:r>
              <w:rPr>
                <w:b w:val="false"/>
                <w:bCs w:val="false"/>
                <w:sz w:val="19"/>
                <w:szCs w:val="19"/>
              </w:rPr>
              <w:t xml:space="preserve">§15.1, §13</w:t>
            </w:r>
          </w:p>
        </w:tc>
      </w:tr>
      <w:tr>
        <w:tc>
          <w:tcPr>
            <w:tcW w:type="dxa" w:w="2400"/>
          </w:tcPr>
          <w:p>
            <w:pPr>
              <w:spacing w:after="40"/>
            </w:pPr>
            <w:r>
              <w:rPr>
                <w:b w:val="false"/>
                <w:bCs w:val="false"/>
                <w:sz w:val="19"/>
                <w:szCs w:val="19"/>
              </w:rPr>
              <w:t xml:space="preserve">18 — Security 5</w:t>
            </w:r>
          </w:p>
        </w:tc>
        <w:tc>
          <w:tcPr>
            <w:tcW w:type="dxa" w:w="4200"/>
          </w:tcPr>
          <w:p>
            <w:pPr>
              <w:spacing w:after="40"/>
            </w:pPr>
            <w:r>
              <w:rPr>
                <w:b w:val="false"/>
                <w:bCs w:val="false"/>
                <w:sz w:val="19"/>
                <w:szCs w:val="19"/>
              </w:rPr>
              <w:t xml:space="preserve">Dedicated secrets manager</w:t>
            </w:r>
          </w:p>
        </w:tc>
        <w:tc>
          <w:tcPr>
            <w:tcW w:type="dxa" w:w="2920"/>
          </w:tcPr>
          <w:p>
            <w:pPr>
              <w:spacing w:after="40"/>
            </w:pPr>
            <w:r>
              <w:rPr>
                <w:b w:val="false"/>
                <w:bCs w:val="false"/>
                <w:sz w:val="19"/>
                <w:szCs w:val="19"/>
              </w:rPr>
              <w:t xml:space="preserve">§3.3, §15.1</w:t>
            </w:r>
          </w:p>
        </w:tc>
      </w:tr>
      <w:tr>
        <w:tc>
          <w:tcPr>
            <w:tcW w:type="dxa" w:w="2400"/>
          </w:tcPr>
          <w:p>
            <w:pPr>
              <w:spacing w:after="40"/>
            </w:pPr>
            <w:r>
              <w:rPr>
                <w:b w:val="false"/>
                <w:bCs w:val="false"/>
                <w:sz w:val="19"/>
                <w:szCs w:val="19"/>
              </w:rPr>
              <w:t xml:space="preserve">19 — AI 1</w:t>
            </w:r>
          </w:p>
        </w:tc>
        <w:tc>
          <w:tcPr>
            <w:tcW w:type="dxa" w:w="4200"/>
          </w:tcPr>
          <w:p>
            <w:pPr>
              <w:spacing w:after="40"/>
            </w:pPr>
            <w:r>
              <w:rPr>
                <w:b w:val="false"/>
                <w:bCs w:val="false"/>
                <w:sz w:val="19"/>
                <w:szCs w:val="19"/>
              </w:rPr>
              <w:t xml:space="preserve">Explicit hosting decision + DPA</w:t>
            </w:r>
          </w:p>
        </w:tc>
        <w:tc>
          <w:tcPr>
            <w:tcW w:type="dxa" w:w="2920"/>
          </w:tcPr>
          <w:p>
            <w:pPr>
              <w:spacing w:after="40"/>
            </w:pPr>
            <w:r>
              <w:rPr>
                <w:b w:val="false"/>
                <w:bCs w:val="false"/>
                <w:sz w:val="19"/>
                <w:szCs w:val="19"/>
              </w:rPr>
              <w:t xml:space="preserve">§17.1, §25</w:t>
            </w:r>
          </w:p>
        </w:tc>
      </w:tr>
      <w:tr>
        <w:tc>
          <w:tcPr>
            <w:tcW w:type="dxa" w:w="2400"/>
          </w:tcPr>
          <w:p>
            <w:pPr>
              <w:spacing w:after="40"/>
            </w:pPr>
            <w:r>
              <w:rPr>
                <w:b w:val="false"/>
                <w:bCs w:val="false"/>
                <w:sz w:val="19"/>
                <w:szCs w:val="19"/>
              </w:rPr>
              <w:t xml:space="preserve">19 — AI 2</w:t>
            </w:r>
          </w:p>
        </w:tc>
        <w:tc>
          <w:tcPr>
            <w:tcW w:type="dxa" w:w="4200"/>
          </w:tcPr>
          <w:p>
            <w:pPr>
              <w:spacing w:after="40"/>
            </w:pPr>
            <w:r>
              <w:rPr>
                <w:b w:val="false"/>
                <w:bCs w:val="false"/>
                <w:sz w:val="19"/>
                <w:szCs w:val="19"/>
              </w:rPr>
              <w:t xml:space="preserve">Prompt-injection defenses</w:t>
            </w:r>
          </w:p>
        </w:tc>
        <w:tc>
          <w:tcPr>
            <w:tcW w:type="dxa" w:w="2920"/>
          </w:tcPr>
          <w:p>
            <w:pPr>
              <w:spacing w:after="40"/>
            </w:pPr>
            <w:r>
              <w:rPr>
                <w:b w:val="false"/>
                <w:bCs w:val="false"/>
                <w:sz w:val="19"/>
                <w:szCs w:val="19"/>
              </w:rPr>
              <w:t xml:space="preserve">§17.1</w:t>
            </w:r>
          </w:p>
        </w:tc>
      </w:tr>
      <w:tr>
        <w:tc>
          <w:tcPr>
            <w:tcW w:type="dxa" w:w="2400"/>
          </w:tcPr>
          <w:p>
            <w:pPr>
              <w:spacing w:after="40"/>
            </w:pPr>
            <w:r>
              <w:rPr>
                <w:b w:val="false"/>
                <w:bCs w:val="false"/>
                <w:sz w:val="19"/>
                <w:szCs w:val="19"/>
              </w:rPr>
              <w:t xml:space="preserve">19 — AI 3</w:t>
            </w:r>
          </w:p>
        </w:tc>
        <w:tc>
          <w:tcPr>
            <w:tcW w:type="dxa" w:w="4200"/>
          </w:tcPr>
          <w:p>
            <w:pPr>
              <w:spacing w:after="40"/>
            </w:pPr>
            <w:r>
              <w:rPr>
                <w:b w:val="false"/>
                <w:bCs w:val="false"/>
                <w:sz w:val="19"/>
                <w:szCs w:val="19"/>
              </w:rPr>
              <w:t xml:space="preserve">Minimum confidence threshold</w:t>
            </w:r>
          </w:p>
        </w:tc>
        <w:tc>
          <w:tcPr>
            <w:tcW w:type="dxa" w:w="2920"/>
          </w:tcPr>
          <w:p>
            <w:pPr>
              <w:spacing w:after="40"/>
            </w:pPr>
            <w:r>
              <w:rPr>
                <w:b w:val="false"/>
                <w:bCs w:val="false"/>
                <w:sz w:val="19"/>
                <w:szCs w:val="19"/>
              </w:rPr>
              <w:t xml:space="preserve">§17.1</w:t>
            </w:r>
          </w:p>
        </w:tc>
      </w:tr>
      <w:tr>
        <w:tc>
          <w:tcPr>
            <w:tcW w:type="dxa" w:w="2400"/>
          </w:tcPr>
          <w:p>
            <w:pPr>
              <w:spacing w:after="40"/>
            </w:pPr>
            <w:r>
              <w:rPr>
                <w:b w:val="false"/>
                <w:bCs w:val="false"/>
                <w:sz w:val="19"/>
                <w:szCs w:val="19"/>
              </w:rPr>
              <w:t xml:space="preserve">19 — AI 4</w:t>
            </w:r>
          </w:p>
        </w:tc>
        <w:tc>
          <w:tcPr>
            <w:tcW w:type="dxa" w:w="4200"/>
          </w:tcPr>
          <w:p>
            <w:pPr>
              <w:spacing w:after="40"/>
            </w:pPr>
            <w:r>
              <w:rPr>
                <w:b w:val="false"/>
                <w:bCs w:val="false"/>
                <w:sz w:val="19"/>
                <w:szCs w:val="19"/>
              </w:rPr>
              <w:t xml:space="preserve">Red-team Level 1–4 boundaries</w:t>
            </w:r>
          </w:p>
        </w:tc>
        <w:tc>
          <w:tcPr>
            <w:tcW w:type="dxa" w:w="2920"/>
          </w:tcPr>
          <w:p>
            <w:pPr>
              <w:spacing w:after="40"/>
            </w:pPr>
            <w:r>
              <w:rPr>
                <w:b w:val="false"/>
                <w:bCs w:val="false"/>
                <w:sz w:val="19"/>
                <w:szCs w:val="19"/>
              </w:rPr>
              <w:t xml:space="preserve">§17.1, §24 (Phase 11 gate)</w:t>
            </w:r>
          </w:p>
        </w:tc>
      </w:tr>
      <w:tr>
        <w:tc>
          <w:tcPr>
            <w:tcW w:type="dxa" w:w="2400"/>
          </w:tcPr>
          <w:p>
            <w:pPr>
              <w:spacing w:after="40"/>
            </w:pPr>
            <w:r>
              <w:rPr>
                <w:b w:val="false"/>
                <w:bCs w:val="false"/>
                <w:sz w:val="19"/>
                <w:szCs w:val="19"/>
              </w:rPr>
              <w:t xml:space="preserve">20 — UX 1–2</w:t>
            </w:r>
          </w:p>
        </w:tc>
        <w:tc>
          <w:tcPr>
            <w:tcW w:type="dxa" w:w="4200"/>
          </w:tcPr>
          <w:p>
            <w:pPr>
              <w:spacing w:after="40"/>
            </w:pPr>
            <w:r>
              <w:rPr>
                <w:b w:val="false"/>
                <w:bCs w:val="false"/>
                <w:sz w:val="19"/>
                <w:szCs w:val="19"/>
              </w:rPr>
              <w:t xml:space="preserve">Mobile-first offline Site Diary; no-code QA/QC template builder</w:t>
            </w:r>
          </w:p>
        </w:tc>
        <w:tc>
          <w:tcPr>
            <w:tcW w:type="dxa" w:w="2920"/>
          </w:tcPr>
          <w:p>
            <w:pPr>
              <w:spacing w:after="40"/>
            </w:pPr>
            <w:r>
              <w:rPr>
                <w:b w:val="false"/>
                <w:bCs w:val="false"/>
                <w:sz w:val="19"/>
                <w:szCs w:val="19"/>
              </w:rPr>
              <w:t xml:space="preserve">Carried forward as an implementation requirement for Phase 5</w:t>
            </w:r>
          </w:p>
        </w:tc>
      </w:tr>
      <w:tr>
        <w:tc>
          <w:tcPr>
            <w:tcW w:type="dxa" w:w="2400"/>
          </w:tcPr>
          <w:p>
            <w:pPr>
              <w:spacing w:after="40"/>
            </w:pPr>
            <w:r>
              <w:rPr>
                <w:b w:val="false"/>
                <w:bCs w:val="false"/>
                <w:sz w:val="19"/>
                <w:szCs w:val="19"/>
              </w:rPr>
              <w:t xml:space="preserve">21 — Reporting 1–2</w:t>
            </w:r>
          </w:p>
        </w:tc>
        <w:tc>
          <w:tcPr>
            <w:tcW w:type="dxa" w:w="4200"/>
          </w:tcPr>
          <w:p>
            <w:pPr>
              <w:spacing w:after="40"/>
            </w:pPr>
            <w:r>
              <w:rPr>
                <w:b w:val="false"/>
                <w:bCs w:val="false"/>
                <w:sz w:val="19"/>
                <w:szCs w:val="19"/>
              </w:rPr>
              <w:t xml:space="preserve">Separated reporting store; scheduler with audit trail</w:t>
            </w:r>
          </w:p>
        </w:tc>
        <w:tc>
          <w:tcPr>
            <w:tcW w:type="dxa" w:w="2920"/>
          </w:tcPr>
          <w:p>
            <w:pPr>
              <w:spacing w:after="40"/>
            </w:pPr>
            <w:r>
              <w:rPr>
                <w:b w:val="false"/>
                <w:bCs w:val="false"/>
                <w:sz w:val="19"/>
                <w:szCs w:val="19"/>
              </w:rPr>
              <w:t xml:space="preserve">§19</w:t>
            </w:r>
          </w:p>
        </w:tc>
      </w:tr>
      <w:tr>
        <w:tc>
          <w:tcPr>
            <w:tcW w:type="dxa" w:w="2400"/>
          </w:tcPr>
          <w:p>
            <w:pPr>
              <w:spacing w:after="40"/>
            </w:pPr>
            <w:r>
              <w:rPr>
                <w:b w:val="false"/>
                <w:bCs w:val="false"/>
                <w:sz w:val="19"/>
                <w:szCs w:val="19"/>
              </w:rPr>
              <w:t xml:space="preserve">22 — Dashboard 1–5</w:t>
            </w:r>
          </w:p>
        </w:tc>
        <w:tc>
          <w:tcPr>
            <w:tcW w:type="dxa" w:w="4200"/>
          </w:tcPr>
          <w:p>
            <w:pPr>
              <w:spacing w:after="40"/>
            </w:pPr>
            <w:r>
              <w:rPr>
                <w:b w:val="false"/>
                <w:bCs w:val="false"/>
                <w:sz w:val="19"/>
                <w:szCs w:val="19"/>
              </w:rPr>
              <w:t xml:space="preserve">Contractor scorecards, sales velocity, NPS, approval aging, risk heatmap</w:t>
            </w:r>
          </w:p>
        </w:tc>
        <w:tc>
          <w:tcPr>
            <w:tcW w:type="dxa" w:w="2920"/>
          </w:tcPr>
          <w:p>
            <w:pPr>
              <w:spacing w:after="40"/>
            </w:pPr>
            <w:r>
              <w:rPr>
                <w:b w:val="false"/>
                <w:bCs w:val="false"/>
                <w:sz w:val="19"/>
                <w:szCs w:val="19"/>
              </w:rPr>
              <w:t xml:space="preserve">§20.1</w:t>
            </w:r>
          </w:p>
        </w:tc>
      </w:tr>
      <w:tr>
        <w:tc>
          <w:tcPr>
            <w:tcW w:type="dxa" w:w="2400"/>
          </w:tcPr>
          <w:p>
            <w:pPr>
              <w:spacing w:after="40"/>
            </w:pPr>
            <w:r>
              <w:rPr>
                <w:b w:val="false"/>
                <w:bCs w:val="false"/>
                <w:sz w:val="19"/>
                <w:szCs w:val="19"/>
              </w:rPr>
              <w:t xml:space="preserve">23 — Roadmap 1</w:t>
            </w:r>
          </w:p>
        </w:tc>
        <w:tc>
          <w:tcPr>
            <w:tcW w:type="dxa" w:w="4200"/>
          </w:tcPr>
          <w:p>
            <w:pPr>
              <w:spacing w:after="40"/>
            </w:pPr>
            <w:r>
              <w:rPr>
                <w:b w:val="false"/>
                <w:bCs w:val="false"/>
                <w:sz w:val="19"/>
                <w:szCs w:val="19"/>
              </w:rPr>
              <w:t xml:space="preserve">Move DR/key-mgmt/secrets into Phase 0</w:t>
            </w:r>
          </w:p>
        </w:tc>
        <w:tc>
          <w:tcPr>
            <w:tcW w:type="dxa" w:w="2920"/>
          </w:tcPr>
          <w:p>
            <w:pPr>
              <w:spacing w:after="40"/>
            </w:pPr>
            <w:r>
              <w:rPr>
                <w:b w:val="false"/>
                <w:bCs w:val="false"/>
                <w:sz w:val="19"/>
                <w:szCs w:val="19"/>
              </w:rPr>
              <w:t xml:space="preserve">§24 Phase 0</w:t>
            </w:r>
          </w:p>
        </w:tc>
      </w:tr>
      <w:tr>
        <w:tc>
          <w:tcPr>
            <w:tcW w:type="dxa" w:w="2400"/>
          </w:tcPr>
          <w:p>
            <w:pPr>
              <w:spacing w:after="40"/>
            </w:pPr>
            <w:r>
              <w:rPr>
                <w:b w:val="false"/>
                <w:bCs w:val="false"/>
                <w:sz w:val="19"/>
                <w:szCs w:val="19"/>
              </w:rPr>
              <w:t xml:space="preserve">23 — Roadmap 2</w:t>
            </w:r>
          </w:p>
        </w:tc>
        <w:tc>
          <w:tcPr>
            <w:tcW w:type="dxa" w:w="4200"/>
          </w:tcPr>
          <w:p>
            <w:pPr>
              <w:spacing w:after="40"/>
            </w:pPr>
            <w:r>
              <w:rPr>
                <w:b w:val="false"/>
                <w:bCs w:val="false"/>
                <w:sz w:val="19"/>
                <w:szCs w:val="19"/>
              </w:rPr>
              <w:t xml:space="preserve">Phase 0.5 technology spike</w:t>
            </w:r>
          </w:p>
        </w:tc>
        <w:tc>
          <w:tcPr>
            <w:tcW w:type="dxa" w:w="2920"/>
          </w:tcPr>
          <w:p>
            <w:pPr>
              <w:spacing w:after="40"/>
            </w:pPr>
            <w:r>
              <w:rPr>
                <w:b w:val="false"/>
                <w:bCs w:val="false"/>
                <w:sz w:val="19"/>
                <w:szCs w:val="19"/>
              </w:rPr>
              <w:t xml:space="preserve">§24 Phase 0.5</w:t>
            </w:r>
          </w:p>
        </w:tc>
      </w:tr>
      <w:tr>
        <w:tc>
          <w:tcPr>
            <w:tcW w:type="dxa" w:w="2400"/>
          </w:tcPr>
          <w:p>
            <w:pPr>
              <w:spacing w:after="40"/>
            </w:pPr>
            <w:r>
              <w:rPr>
                <w:b w:val="false"/>
                <w:bCs w:val="false"/>
                <w:sz w:val="19"/>
                <w:szCs w:val="19"/>
              </w:rPr>
              <w:t xml:space="preserve">23 — Roadmap 3</w:t>
            </w:r>
          </w:p>
        </w:tc>
        <w:tc>
          <w:tcPr>
            <w:tcW w:type="dxa" w:w="4200"/>
          </w:tcPr>
          <w:p>
            <w:pPr>
              <w:spacing w:after="40"/>
            </w:pPr>
            <w:r>
              <w:rPr>
                <w:b w:val="false"/>
                <w:bCs w:val="false"/>
                <w:sz w:val="19"/>
                <w:szCs w:val="19"/>
              </w:rPr>
              <w:t xml:space="preserve">Vendor onboarding explicit in Phase 4</w:t>
            </w:r>
          </w:p>
        </w:tc>
        <w:tc>
          <w:tcPr>
            <w:tcW w:type="dxa" w:w="2920"/>
          </w:tcPr>
          <w:p>
            <w:pPr>
              <w:spacing w:after="40"/>
            </w:pPr>
            <w:r>
              <w:rPr>
                <w:b w:val="false"/>
                <w:bCs w:val="false"/>
                <w:sz w:val="19"/>
                <w:szCs w:val="19"/>
              </w:rPr>
              <w:t xml:space="preserve">§24 Phase 4</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2026-08-16T15:52:04.303Z</dcterms:created>
  <dcterms:modified xsi:type="dcterms:W3CDTF">2026-08-16T15:52:04.333Z</dcterms:modified>
</cp:coreProperties>
</file>

<file path=docProps/custom.xml><?xml version="1.0" encoding="utf-8"?>
<Properties xmlns="http://schemas.openxmlformats.org/officeDocument/2006/custom-properties" xmlns:vt="http://schemas.openxmlformats.org/officeDocument/2006/docPropsVTypes"/>
</file>