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rFonts w:ascii="Calibri" w:cs="Calibri" w:eastAsia="Calibri" w:hAnsi="Calibri"/>
          <w:b/>
          <w:bCs/>
          <w:color w:val="666666"/>
          <w:sz w:val="17"/>
          <w:szCs w:val="17"/>
        </w:rPr>
        <w:t xml:space="preserve">WaPOR HACKATHON 2026  ·  TEAM 39  ·  FROM TOOLS TO DECISIONS</w:t>
      </w:r>
    </w:p>
    <w:p>
      <w:pPr>
        <w:spacing w:after="60"/>
      </w:pPr>
      <w:r>
        <w:rPr>
          <w:rFonts w:ascii="Calibri" w:cs="Calibri" w:eastAsia="Calibri" w:hAnsi="Calibri"/>
          <w:b/>
          <w:bCs/>
          <w:color w:val="1F4E79"/>
          <w:sz w:val="48"/>
          <w:szCs w:val="48"/>
        </w:rPr>
        <w:t xml:space="preserve">Where the Water Goes</w:t>
      </w:r>
    </w:p>
    <w:p>
      <w:pPr>
        <w:pBdr>
          <w:bottom w:val="single" w:color="2A78D6" w:sz="10" w:space="8"/>
        </w:pBdr>
        <w:spacing w:after="200"/>
      </w:pPr>
      <w:r>
        <w:rPr>
          <w:rFonts w:ascii="Calibri" w:cs="Calibri" w:eastAsia="Calibri" w:hAnsi="Calibri"/>
          <w:color w:val="333333"/>
          <w:sz w:val="23"/>
          <w:szCs w:val="23"/>
        </w:rPr>
        <w:t xml:space="preserve">Turning WaPOR’s evaporation–transpiration split into a ranked spending list for Egypt’s irrigation modernisation budget</w:t>
      </w:r>
    </w:p>
    <w:p>
      <w:pPr>
        <w:pBdr>
          <w:top w:val="single" w:color="C00000" w:sz="6" w:space="6"/>
          <w:bottom w:val="single" w:color="C00000" w:sz="6" w:space="6"/>
          <w:left w:val="single" w:color="C00000" w:sz="6" w:space="6"/>
          <w:right w:val="single" w:color="C00000" w:sz="6" w:space="6"/>
        </w:pBdr>
        <w:shd w:fill="FDECEC" w:color="auto" w:val="clear"/>
        <w:spacing w:after="200"/>
      </w:pPr>
      <w:r>
        <w:rPr>
          <w:rFonts w:ascii="Calibri" w:cs="Calibri" w:eastAsia="Calibri" w:hAnsi="Calibri"/>
          <w:b/>
          <w:bCs/>
          <w:color w:val="C00000"/>
          <w:sz w:val="20"/>
          <w:szCs w:val="20"/>
        </w:rPr>
        <w:t xml:space="preserve">DEMO DATA. </w:t>
      </w:r>
      <w:r>
        <w:rPr>
          <w:rFonts w:ascii="Calibri" w:cs="Calibri" w:eastAsia="Calibri" w:hAnsi="Calibri"/>
          <w:color w:val="C00000"/>
          <w:sz w:val="20"/>
          <w:szCs w:val="20"/>
        </w:rPr>
        <w:t xml:space="preserve">The evapotranspiration values in this document are synthetic placeholders, not WaPOR measurements. They exist so the decision logic could be built and demonstrated before the WaPOR download was complete. Run the pipeline’s steps 02 and 03 to replace them. No figure here should be quoted as a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Field</w:t>
            </w:r>
          </w:p>
        </w:tc>
        <w:tc>
          <w:tcPr>
            <w:tcW w:type="dxa" w:w="696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Entry</w:t>
            </w:r>
          </w:p>
        </w:tc>
      </w:tr>
      <w:tr>
        <w:tc>
          <w:tcPr>
            <w:tcW w:type="dxa" w:w="2400"/>
            <w:tcMar>
              <w:top w:type="dxa" w:w="70"/>
              <w:left w:type="dxa" w:w="110"/>
              <w:bottom w:type="dxa" w:w="70"/>
              <w:right w:type="dxa" w:w="110"/>
            </w:tcMar>
          </w:tcPr>
          <w:p>
            <w:pPr>
              <w:spacing w:after="0" w:line="250"/>
            </w:pPr>
            <w:r>
              <w:rPr>
                <w:rFonts w:ascii="Calibri" w:cs="Calibri" w:eastAsia="Calibri" w:hAnsi="Calibri"/>
                <w:sz w:val="19"/>
                <w:szCs w:val="19"/>
              </w:rPr>
              <w:t xml:space="preserve">Subtheme (primary)</w:t>
            </w:r>
          </w:p>
        </w:tc>
        <w:tc>
          <w:tcPr>
            <w:tcW w:type="dxa" w:w="69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Governance</w:t>
            </w:r>
          </w:p>
        </w:tc>
      </w:tr>
      <w:tr>
        <w:tc>
          <w:tcPr>
            <w:tcW w:type="dxa" w:w="24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Subtheme (secondary)</w:t>
            </w:r>
          </w:p>
        </w:tc>
        <w:tc>
          <w:tcPr>
            <w:tcW w:type="dxa" w:w="69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Dashboarding &amp; Entrepreneurship; Communication (cross-cutting)</w:t>
            </w:r>
          </w:p>
        </w:tc>
      </w:tr>
      <w:tr>
        <w:tc>
          <w:tcPr>
            <w:tcW w:type="dxa" w:w="2400"/>
            <w:tcMar>
              <w:top w:type="dxa" w:w="70"/>
              <w:left w:type="dxa" w:w="110"/>
              <w:bottom w:type="dxa" w:w="70"/>
              <w:right w:type="dxa" w:w="110"/>
            </w:tcMar>
          </w:tcPr>
          <w:p>
            <w:pPr>
              <w:spacing w:after="0" w:line="250"/>
            </w:pPr>
            <w:r>
              <w:rPr>
                <w:rFonts w:ascii="Calibri" w:cs="Calibri" w:eastAsia="Calibri" w:hAnsi="Calibri"/>
                <w:sz w:val="19"/>
                <w:szCs w:val="19"/>
              </w:rPr>
              <w:t xml:space="preserve">Governance category</w:t>
            </w:r>
          </w:p>
        </w:tc>
        <w:tc>
          <w:tcPr>
            <w:tcW w:type="dxa" w:w="69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Category 2 — National: ministries and government agencies</w:t>
            </w:r>
          </w:p>
        </w:tc>
      </w:tr>
      <w:tr>
        <w:tc>
          <w:tcPr>
            <w:tcW w:type="dxa" w:w="24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Policy-cycle phase</w:t>
            </w:r>
          </w:p>
        </w:tc>
        <w:tc>
          <w:tcPr>
            <w:tcW w:type="dxa" w:w="69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Implement, then Monitor</w:t>
            </w:r>
          </w:p>
        </w:tc>
      </w:tr>
      <w:tr>
        <w:tc>
          <w:tcPr>
            <w:tcW w:type="dxa" w:w="2400"/>
            <w:tcMar>
              <w:top w:type="dxa" w:w="70"/>
              <w:left w:type="dxa" w:w="110"/>
              <w:bottom w:type="dxa" w:w="70"/>
              <w:right w:type="dxa" w:w="110"/>
            </w:tcMar>
          </w:tcPr>
          <w:p>
            <w:pPr>
              <w:spacing w:after="0" w:line="250"/>
            </w:pPr>
            <w:r>
              <w:rPr>
                <w:rFonts w:ascii="Calibri" w:cs="Calibri" w:eastAsia="Calibri" w:hAnsi="Calibri"/>
                <w:sz w:val="19"/>
                <w:szCs w:val="19"/>
              </w:rPr>
              <w:t xml:space="preserve">Tool direction</w:t>
            </w:r>
          </w:p>
        </w:tc>
        <w:tc>
          <w:tcPr>
            <w:tcW w:type="dxa" w:w="69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Accountability — performance assessment and KPIs</w:t>
            </w:r>
          </w:p>
        </w:tc>
      </w:tr>
      <w:tr>
        <w:tc>
          <w:tcPr>
            <w:tcW w:type="dxa" w:w="24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Tool selected</w:t>
            </w:r>
          </w:p>
        </w:tc>
        <w:tc>
          <w:tcPr>
            <w:tcW w:type="dxa" w:w="69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IPAT — Irrigation assessment tool for Egypt (MWRI, WaPOR v3 L3 20 m)</w:t>
            </w:r>
          </w:p>
        </w:tc>
      </w:tr>
      <w:tr>
        <w:tc>
          <w:tcPr>
            <w:tcW w:type="dxa" w:w="2400"/>
            <w:tcMar>
              <w:top w:type="dxa" w:w="70"/>
              <w:left w:type="dxa" w:w="110"/>
              <w:bottom w:type="dxa" w:w="70"/>
              <w:right w:type="dxa" w:w="110"/>
            </w:tcMar>
          </w:tcPr>
          <w:p>
            <w:pPr>
              <w:spacing w:after="0" w:line="250"/>
            </w:pPr>
            <w:r>
              <w:rPr>
                <w:rFonts w:ascii="Calibri" w:cs="Calibri" w:eastAsia="Calibri" w:hAnsi="Calibri"/>
                <w:sz w:val="19"/>
                <w:szCs w:val="19"/>
              </w:rPr>
              <w:t xml:space="preserve">Case study</w:t>
            </w:r>
          </w:p>
        </w:tc>
        <w:tc>
          <w:tcPr>
            <w:tcW w:type="dxa" w:w="69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Nile Delta and Valley, Egypt</w:t>
            </w:r>
          </w:p>
        </w:tc>
      </w:tr>
      <w:tr>
        <w:tc>
          <w:tcPr>
            <w:tcW w:type="dxa" w:w="24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Target actor</w:t>
            </w:r>
          </w:p>
        </w:tc>
        <w:tc>
          <w:tcPr>
            <w:tcW w:type="dxa" w:w="69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Planning officer, Ministry of Water Resources and Irrigation</w:t>
            </w:r>
          </w:p>
        </w:tc>
      </w:tr>
      <w:tr>
        <w:tc>
          <w:tcPr>
            <w:tcW w:type="dxa" w:w="2400"/>
            <w:tcMar>
              <w:top w:type="dxa" w:w="70"/>
              <w:left w:type="dxa" w:w="110"/>
              <w:bottom w:type="dxa" w:w="70"/>
              <w:right w:type="dxa" w:w="110"/>
            </w:tcMar>
          </w:tcPr>
          <w:p>
            <w:pPr>
              <w:spacing w:after="0" w:line="250"/>
            </w:pPr>
            <w:r>
              <w:rPr>
                <w:rFonts w:ascii="Calibri" w:cs="Calibri" w:eastAsia="Calibri" w:hAnsi="Calibri"/>
                <w:sz w:val="19"/>
                <w:szCs w:val="19"/>
              </w:rPr>
              <w:t xml:space="preserve">WaPOR layers used</w:t>
            </w:r>
          </w:p>
        </w:tc>
        <w:tc>
          <w:tcPr>
            <w:tcW w:type="dxa" w:w="69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AETI, E, T, I — Level 2, 100 m, dekadal</w:t>
            </w:r>
          </w:p>
        </w:tc>
      </w:tr>
      <w:tr>
        <w:tc>
          <w:tcPr>
            <w:tcW w:type="dxa" w:w="24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SDG linkage</w:t>
            </w:r>
          </w:p>
        </w:tc>
        <w:tc>
          <w:tcPr>
            <w:tcW w:type="dxa" w:w="69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6.4.1 water-use efficiency; 2.4 sustainable agriculture</w:t>
            </w:r>
          </w:p>
        </w:tc>
      </w:tr>
    </w:tbl>
    <w:p>
      <w:pPr>
        <w:pStyle w:val="Heading1"/>
        <w:spacing w:after="150" w:before="300"/>
      </w:pPr>
      <w:r>
        <w:rPr>
          <w:rFonts w:ascii="Calibri" w:cs="Calibri" w:eastAsia="Calibri" w:hAnsi="Calibri"/>
          <w:b/>
          <w:bCs/>
          <w:color w:val="1F4E79"/>
          <w:sz w:val="28"/>
          <w:szCs w:val="28"/>
        </w:rPr>
        <w:t xml:space="preserve">1. The core problem</w:t>
      </w:r>
    </w:p>
    <w:p>
      <w:pPr>
        <w:spacing w:after="140" w:line="276"/>
      </w:pPr>
      <w:r>
        <w:rPr>
          <w:rFonts w:ascii="Calibri" w:cs="Calibri" w:eastAsia="Calibri" w:hAnsi="Calibri"/>
          <w:sz w:val="21"/>
          <w:szCs w:val="21"/>
        </w:rPr>
        <w:t xml:space="preserve">The tools already exist. FAO’s catalogue lists more than twenty working WaPOR applications, and Egypt has one of its own: IPAT, the irrigation assessment tool hosted by the Ministry of Water Resources and Irrigation, built on WaPOR v3 Level 3 at 20 metres across roughly 1.5 million hectares of the Middle and West Delta. It shows, accurately, where water productivity is high and where it is low.</w:t>
      </w:r>
    </w:p>
    <w:p>
      <w:pPr>
        <w:spacing w:after="140" w:line="276"/>
      </w:pPr>
      <w:r>
        <w:rPr>
          <w:rFonts w:ascii="Calibri" w:cs="Calibri" w:eastAsia="Calibri" w:hAnsi="Calibri"/>
          <w:sz w:val="21"/>
          <w:szCs w:val="21"/>
        </w:rPr>
        <w:t xml:space="preserve">It stops there. A planning officer with a fixed annual modernisation budget still has to decide where to spend it, and a productivity map does not answer that question. Today the budget is split by cultivated area or by political balance across governorates. Nothing in the toolchain says which hectare of subsidy buys the most water back.</w:t>
      </w:r>
    </w:p>
    <w:p>
      <w:pPr>
        <w:spacing w:after="140" w:line="276"/>
      </w:pPr>
      <w:r>
        <w:rPr>
          <w:rFonts w:ascii="Calibri" w:cs="Calibri" w:eastAsia="Calibri" w:hAnsi="Calibri"/>
          <w:b/>
          <w:bCs/>
          <w:sz w:val="21"/>
          <w:szCs w:val="21"/>
        </w:rPr>
        <w:t xml:space="preserve">The gap is not data, and it is not accuracy. It is that the output arrives in the wrong units for the decision — millimetres per dekad, when the decision is denominated in pounds, hectares and cubic metres.</w:t>
      </w:r>
    </w:p>
    <w:p>
      <w:pPr>
        <w:pStyle w:val="Heading1"/>
        <w:spacing w:after="150" w:before="300"/>
      </w:pPr>
      <w:r>
        <w:rPr>
          <w:rFonts w:ascii="Calibri" w:cs="Calibri" w:eastAsia="Calibri" w:hAnsi="Calibri"/>
          <w:b/>
          <w:bCs/>
          <w:color w:val="1F4E79"/>
          <w:sz w:val="28"/>
          <w:szCs w:val="28"/>
        </w:rPr>
        <w:t xml:space="preserve">2. The insight</w:t>
      </w:r>
    </w:p>
    <w:p>
      <w:pPr>
        <w:spacing w:after="140" w:line="276"/>
      </w:pPr>
      <w:r>
        <w:rPr>
          <w:rFonts w:ascii="Calibri" w:cs="Calibri" w:eastAsia="Calibri" w:hAnsi="Calibri"/>
          <w:sz w:val="21"/>
          <w:szCs w:val="21"/>
        </w:rPr>
        <w:t xml:space="preserve">WaPOR is one of very few global products that reports evaporation (E), transpiration (T) and interception (I) as separate layers. Almost nobody uses that split, and it is the most decision-relevant thing in the database.</w:t>
      </w:r>
    </w:p>
    <w:p>
      <w:pPr>
        <w:spacing w:after="140" w:line="276"/>
      </w:pPr>
      <w:r>
        <w:rPr>
          <w:rFonts w:ascii="Calibri" w:cs="Calibri" w:eastAsia="Calibri" w:hAnsi="Calibri"/>
          <w:sz w:val="21"/>
          <w:szCs w:val="21"/>
        </w:rPr>
        <w:t xml:space="preserve">Transpiration is water that passed through a stoma and grew a crop. Evaporation is water that was delivered, paid for, and left the field having grown nothing. Unlike most losses in an irrigation system, a large share of it is recoverable with cheap, well-understood measures: alternate wetting and drying in paddy rice, laser land levelling, mulching, drip retrofit.</w:t>
      </w:r>
    </w:p>
    <w:p>
      <w:pPr>
        <w:spacing w:after="140" w:line="276"/>
      </w:pPr>
      <w:r>
        <w:rPr>
          <w:rFonts w:ascii="Calibri" w:cs="Calibri" w:eastAsia="Calibri" w:hAnsi="Calibri"/>
          <w:sz w:val="21"/>
          <w:szCs w:val="21"/>
        </w:rPr>
        <w:t xml:space="preserve">So the question “where should the money go?” has a defensible, data-driven answer: wherever a unit of spending recovers the most evaporated water. That is a number WaPOR can produce today, everywhere, without new instrumentation.</w:t>
      </w:r>
    </w:p>
    <w:p>
      <w:pPr>
        <w:pStyle w:val="Heading1"/>
        <w:spacing w:after="150" w:before="300"/>
      </w:pPr>
      <w:r>
        <w:rPr>
          <w:rFonts w:ascii="Calibri" w:cs="Calibri" w:eastAsia="Calibri" w:hAnsi="Calibri"/>
          <w:b/>
          <w:bCs/>
          <w:color w:val="1F4E79"/>
          <w:sz w:val="28"/>
          <w:szCs w:val="28"/>
        </w:rPr>
        <w:t xml:space="preserve">3. The user and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w:t>
            </w:r>
          </w:p>
        </w:tc>
        <w:tc>
          <w:tcPr>
            <w:tcW w:type="dxa" w:w="746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Detail</w:t>
            </w:r>
          </w:p>
        </w:tc>
      </w:tr>
      <w:tr>
        <w:tc>
          <w:tcPr>
            <w:tcW w:type="dxa" w:w="1900"/>
            <w:tcMar>
              <w:top w:type="dxa" w:w="70"/>
              <w:left w:type="dxa" w:w="110"/>
              <w:bottom w:type="dxa" w:w="70"/>
              <w:right w:type="dxa" w:w="110"/>
            </w:tcMar>
          </w:tcPr>
          <w:p>
            <w:pPr>
              <w:spacing w:after="0" w:line="250"/>
            </w:pPr>
            <w:r>
              <w:rPr>
                <w:rFonts w:ascii="Calibri" w:cs="Calibri" w:eastAsia="Calibri" w:hAnsi="Calibri"/>
                <w:sz w:val="19"/>
                <w:szCs w:val="19"/>
              </w:rPr>
              <w:t xml:space="preserve">User</w:t>
            </w:r>
          </w:p>
        </w:tc>
        <w:tc>
          <w:tcPr>
            <w:tcW w:type="dxa" w:w="74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Planning officer, Ministry of Water Resources and Irrigation</w:t>
            </w:r>
          </w:p>
        </w:tc>
      </w:tr>
      <w:tr>
        <w:tc>
          <w:tcPr>
            <w:tcW w:type="dxa" w:w="19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Decision-maker</w:t>
            </w:r>
          </w:p>
        </w:tc>
        <w:tc>
          <w:tcPr>
            <w:tcW w:type="dxa" w:w="74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The annual on-farm modernisation budget committee</w:t>
            </w:r>
          </w:p>
        </w:tc>
      </w:tr>
      <w:tr>
        <w:tc>
          <w:tcPr>
            <w:tcW w:type="dxa" w:w="1900"/>
            <w:tcMar>
              <w:top w:type="dxa" w:w="70"/>
              <w:left w:type="dxa" w:w="110"/>
              <w:bottom w:type="dxa" w:w="70"/>
              <w:right w:type="dxa" w:w="110"/>
            </w:tcMar>
          </w:tcPr>
          <w:p>
            <w:pPr>
              <w:spacing w:after="0" w:line="250"/>
            </w:pPr>
            <w:r>
              <w:rPr>
                <w:rFonts w:ascii="Calibri" w:cs="Calibri" w:eastAsia="Calibri" w:hAnsi="Calibri"/>
                <w:sz w:val="19"/>
                <w:szCs w:val="19"/>
              </w:rPr>
              <w:t xml:space="preserve">Constraints</w:t>
            </w:r>
          </w:p>
        </w:tc>
        <w:tc>
          <w:tcPr>
            <w:tcW w:type="dxa" w:w="74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Fixed annual envelope; pressure to spread evenly across governorates; must justify spending to the Ministry of Finance; operates on an annual cycle, not a dekadal one</w:t>
            </w:r>
          </w:p>
        </w:tc>
      </w:tr>
      <w:tr>
        <w:tc>
          <w:tcPr>
            <w:tcW w:type="dxa" w:w="19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Decision informed</w:t>
            </w:r>
          </w:p>
        </w:tc>
        <w:tc>
          <w:tcPr>
            <w:tcW w:type="dxa" w:w="74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Which governorates receive this season’s modernisation budget, in what proportion, and with which measure</w:t>
            </w:r>
          </w:p>
        </w:tc>
      </w:tr>
      <w:tr>
        <w:tc>
          <w:tcPr>
            <w:tcW w:type="dxa" w:w="1900"/>
            <w:tcMar>
              <w:top w:type="dxa" w:w="70"/>
              <w:left w:type="dxa" w:w="110"/>
              <w:bottom w:type="dxa" w:w="70"/>
              <w:right w:type="dxa" w:w="110"/>
            </w:tcMar>
          </w:tcPr>
          <w:p>
            <w:pPr>
              <w:spacing w:after="0" w:line="250"/>
            </w:pPr>
            <w:r>
              <w:rPr>
                <w:rFonts w:ascii="Calibri" w:cs="Calibri" w:eastAsia="Calibri" w:hAnsi="Calibri"/>
                <w:sz w:val="19"/>
                <w:szCs w:val="19"/>
              </w:rPr>
              <w:t xml:space="preserve">Moment</w:t>
            </w:r>
          </w:p>
        </w:tc>
        <w:tc>
          <w:tcPr>
            <w:tcW w:type="dxa" w:w="74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Annual budget planning — an existing process, on an existing calendar, requiring no new workflow</w:t>
            </w:r>
          </w:p>
        </w:tc>
      </w:tr>
    </w:tbl>
    <w:p>
      <w:pPr>
        <w:spacing w:after="140" w:line="276"/>
      </w:pPr>
      <w:r>
        <w:rPr>
          <w:rFonts w:ascii="Calibri" w:cs="Calibri" w:eastAsia="Calibri" w:hAnsi="Calibri"/>
          <w:b/>
          <w:bCs/>
          <w:sz w:val="21"/>
          <w:szCs w:val="21"/>
        </w:rPr>
        <w:t xml:space="preserve">The test: </w:t>
      </w:r>
      <w:r>
        <w:rPr>
          <w:rFonts w:ascii="Calibri" w:cs="Calibri" w:eastAsia="Calibri" w:hAnsi="Calibri"/>
          <w:i/>
          <w:iCs/>
          <w:sz w:val="21"/>
          <w:szCs w:val="21"/>
        </w:rPr>
        <w:t xml:space="preserve">because of this, an MWRI planning officer will direct this season’s budget to Kafr El Sheikh, Damietta and Beheira first, instead of splitting it evenly across twenty governorates.</w:t>
      </w:r>
    </w:p>
    <w:p>
      <w:pPr>
        <w:pStyle w:val="Heading1"/>
        <w:spacing w:after="150" w:before="300"/>
      </w:pPr>
      <w:r>
        <w:rPr>
          <w:rFonts w:ascii="Calibri" w:cs="Calibri" w:eastAsia="Calibri" w:hAnsi="Calibri"/>
          <w:b/>
          <w:bCs/>
          <w:color w:val="1F4E79"/>
          <w:sz w:val="28"/>
          <w:szCs w:val="28"/>
        </w:rPr>
        <w:t xml:space="preserve">4. Where this sits in the governance framework</w:t>
      </w:r>
    </w:p>
    <w:p>
      <w:pPr>
        <w:spacing w:after="140" w:line="276"/>
      </w:pPr>
      <w:r>
        <w:rPr>
          <w:rFonts w:ascii="Calibri" w:cs="Calibri" w:eastAsia="Calibri" w:hAnsi="Calibri"/>
          <w:sz w:val="21"/>
          <w:szCs w:val="21"/>
        </w:rPr>
        <w:t xml:space="preserve">The subtheme asks for a real governance problem, a specific target actor, and a decision the idea helps that actor formulate, implement or monitor. This concept answers all three at Category 2, the national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Governance function</w:t>
            </w:r>
          </w:p>
        </w:tc>
        <w:tc>
          <w:tcPr>
            <w:tcW w:type="dxa" w:w="746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What this concept does</w:t>
            </w:r>
          </w:p>
        </w:tc>
      </w:tr>
      <w:tr>
        <w:tc>
          <w:tcPr>
            <w:tcW w:type="dxa" w:w="1900"/>
            <w:tcMar>
              <w:top w:type="dxa" w:w="70"/>
              <w:left w:type="dxa" w:w="110"/>
              <w:bottom w:type="dxa" w:w="70"/>
              <w:right w:type="dxa" w:w="110"/>
            </w:tcMar>
          </w:tcPr>
          <w:p>
            <w:pPr>
              <w:spacing w:after="0" w:line="250"/>
            </w:pPr>
            <w:r>
              <w:rPr>
                <w:rFonts w:ascii="Calibri" w:cs="Calibri" w:eastAsia="Calibri" w:hAnsi="Calibri"/>
                <w:sz w:val="19"/>
                <w:szCs w:val="19"/>
              </w:rPr>
              <w:t xml:space="preserve">Formulate</w:t>
            </w:r>
          </w:p>
        </w:tc>
        <w:tc>
          <w:tcPr>
            <w:tcW w:type="dxa" w:w="74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Not addressed. The policy already exists — Egypt already subsidises on-farm modernisation.</w:t>
            </w:r>
          </w:p>
        </w:tc>
      </w:tr>
      <w:tr>
        <w:tc>
          <w:tcPr>
            <w:tcW w:type="dxa" w:w="19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Implement</w:t>
            </w:r>
          </w:p>
        </w:tc>
        <w:tc>
          <w:tcPr>
            <w:tcW w:type="dxa" w:w="74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The core contribution. “Direct financial and technical resources with precision by identifying hot spots of acute water stress” is precisely the ranked spending list. The evaporation hot spot is a spending instruction.</w:t>
            </w:r>
          </w:p>
        </w:tc>
      </w:tr>
      <w:tr>
        <w:tc>
          <w:tcPr>
            <w:tcW w:type="dxa" w:w="1900"/>
            <w:tcMar>
              <w:top w:type="dxa" w:w="70"/>
              <w:left w:type="dxa" w:w="110"/>
              <w:bottom w:type="dxa" w:w="70"/>
              <w:right w:type="dxa" w:w="110"/>
            </w:tcMar>
          </w:tcPr>
          <w:p>
            <w:pPr>
              <w:spacing w:after="0" w:line="250"/>
            </w:pPr>
            <w:r>
              <w:rPr>
                <w:rFonts w:ascii="Calibri" w:cs="Calibri" w:eastAsia="Calibri" w:hAnsi="Calibri"/>
                <w:sz w:val="19"/>
                <w:szCs w:val="19"/>
              </w:rPr>
              <w:t xml:space="preserve">Monitor</w:t>
            </w:r>
          </w:p>
        </w:tc>
        <w:tc>
          <w:tcPr>
            <w:tcW w:type="dxa" w:w="74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WaPOR observes the same district next season. The indicator that justified the spending is the indicator that measures it, so the accountability loop closes on a single, verifiable biophysical source rather than on self-reported progress.</w:t>
            </w:r>
          </w:p>
        </w:tc>
      </w:tr>
    </w:tbl>
    <w:p>
      <w:pPr>
        <w:spacing w:after="140" w:line="276"/>
      </w:pPr>
      <w:r>
        <w:rPr>
          <w:rFonts w:ascii="Calibri" w:cs="Calibri" w:eastAsia="Calibri" w:hAnsi="Calibri"/>
          <w:b/>
          <w:bCs/>
          <w:sz w:val="21"/>
          <w:szCs w:val="21"/>
        </w:rPr>
        <w:t xml:space="preserve">What cannot be captured in pixels. </w:t>
      </w:r>
      <w:r>
        <w:rPr>
          <w:rFonts w:ascii="Calibri" w:cs="Calibri" w:eastAsia="Calibri" w:hAnsi="Calibri"/>
          <w:sz w:val="21"/>
          <w:szCs w:val="21"/>
        </w:rPr>
        <w:t xml:space="preserve">The subtheme is explicit that stakeholder engagement happens outside the dataset interface, and we take that seriously. A ranked list that ignores political reality will be ignored in turn. That is why the budget is a slider and the cost assumptions are editable inputs: the committee argues with the model in the room, changes what it disagrees with, and leaves owning the result. The tool is built to lose an argument gracefully — which is what makes it likely to be used at all.</w:t>
      </w:r>
    </w:p>
    <w:p>
      <w:r>
        <w:br w:type="page"/>
      </w:r>
    </w:p>
    <w:p>
      <w:pPr>
        <w:pStyle w:val="Heading1"/>
        <w:spacing w:after="150" w:before="300"/>
      </w:pPr>
      <w:r>
        <w:rPr>
          <w:rFonts w:ascii="Calibri" w:cs="Calibri" w:eastAsia="Calibri" w:hAnsi="Calibri"/>
          <w:b/>
          <w:bCs/>
          <w:color w:val="1F4E79"/>
          <w:sz w:val="28"/>
          <w:szCs w:val="28"/>
        </w:rPr>
        <w:t xml:space="preserve">5. Method</w:t>
      </w:r>
    </w:p>
    <w:p>
      <w:pPr>
        <w:spacing w:after="140" w:line="276"/>
      </w:pPr>
      <w:r>
        <w:rPr>
          <w:rFonts w:ascii="Calibri" w:cs="Calibri" w:eastAsia="Calibri" w:hAnsi="Calibri"/>
          <w:sz w:val="21"/>
          <w:szCs w:val="21"/>
        </w:rPr>
        <w:t xml:space="preserve">For every combination of district and applicable intervention:</w:t>
      </w:r>
    </w:p>
    <w:p>
      <w:pPr>
        <w:spacing w:after="140" w:line="276"/>
        <w:ind w:left="360"/>
      </w:pPr>
      <w:r>
        <w:rPr>
          <w:rFonts w:ascii="Calibri" w:cs="Calibri" w:eastAsia="Calibri" w:hAnsi="Calibri"/>
          <w:sz w:val="20"/>
          <w:szCs w:val="20"/>
        </w:rPr>
        <w:t xml:space="preserve">recoverable water   V = E_mm × irrigated_ha × 10   × reduction_fraction   [m³]</w:t>
      </w:r>
    </w:p>
    <w:p>
      <w:pPr>
        <w:spacing w:after="140" w:line="276"/>
        <w:ind w:left="360"/>
      </w:pPr>
      <w:r>
        <w:rPr>
          <w:rFonts w:ascii="Calibri" w:cs="Calibri" w:eastAsia="Calibri" w:hAnsi="Calibri"/>
          <w:sz w:val="20"/>
          <w:szCs w:val="20"/>
        </w:rPr>
        <w:t xml:space="preserve">annualised cost     C = (USD/ha ÷ life_years) × irrigated_ha              [USD/year]</w:t>
      </w:r>
    </w:p>
    <w:p>
      <w:pPr>
        <w:spacing w:after="140" w:line="276"/>
        <w:ind w:left="360"/>
      </w:pPr>
      <w:r>
        <w:rPr>
          <w:rFonts w:ascii="Calibri" w:cs="Calibri" w:eastAsia="Calibri" w:hAnsi="Calibri"/>
          <w:sz w:val="20"/>
          <w:szCs w:val="20"/>
        </w:rPr>
        <w:t xml:space="preserve">cost of water       c = C ÷ V                                             [USD/m³]</w:t>
      </w:r>
    </w:p>
    <w:p>
      <w:pPr>
        <w:spacing w:after="140" w:line="276"/>
      </w:pPr>
      <w:r>
        <w:rPr>
          <w:rFonts w:ascii="Calibri" w:cs="Calibri" w:eastAsia="Calibri" w:hAnsi="Calibri"/>
          <w:sz w:val="21"/>
          <w:szCs w:val="21"/>
        </w:rPr>
        <w:t xml:space="preserve">Sort every pair by c ascending and spend the budget down that list — cheapest water first. Because a district can be part-treated, the greedy solution is optimal. The baseline it is measured against splits the same budget in proportion to irrigated area. That is a neutral prior — what you would do knowing only where the cropland is — and not a claim about how the ministry currently allocates, for which we have no citation.</w:t>
      </w:r>
    </w:p>
    <w:p>
      <w:pPr>
        <w:pStyle w:val="Heading2"/>
        <w:spacing w:after="110" w:before="220"/>
      </w:pPr>
      <w:r>
        <w:rPr>
          <w:rFonts w:ascii="Calibri" w:cs="Calibri" w:eastAsia="Calibri" w:hAnsi="Calibri"/>
          <w:b/>
          <w:bCs/>
          <w:color w:val="2A78D6"/>
          <w:sz w:val="23"/>
          <w:szCs w:val="23"/>
        </w:rPr>
        <w:t xml:space="preserve">The cropland mask is free</w:t>
      </w:r>
    </w:p>
    <w:p>
      <w:pPr>
        <w:spacing w:after="140" w:line="276"/>
      </w:pPr>
      <w:r>
        <w:rPr>
          <w:rFonts w:ascii="Calibri" w:cs="Calibri" w:eastAsia="Calibri" w:hAnsi="Calibri"/>
          <w:sz w:val="21"/>
          <w:szCs w:val="21"/>
        </w:rPr>
        <w:t xml:space="preserve">In Egypt you do not need a land-cover product. Outside the irrigated Nile system there is no water and effectively no rainfall, so seasonal actual evapotranspiration collapses to near zero. A seasonal AETI threshold therefore separates irrigated land from desert almost perfectly — using the same data already being analysed, with no extra dependency, licence or cost. The threshold sits in a genuine gap in the distribution, not in the middle of it.</w:t>
      </w:r>
    </w:p>
    <w:p>
      <w:pPr>
        <w:pStyle w:val="Heading1"/>
        <w:spacing w:after="150" w:before="300"/>
      </w:pPr>
      <w:r>
        <w:rPr>
          <w:rFonts w:ascii="Calibri" w:cs="Calibri" w:eastAsia="Calibri" w:hAnsi="Calibri"/>
          <w:b/>
          <w:bCs/>
          <w:color w:val="1F4E79"/>
          <w:sz w:val="28"/>
          <w:szCs w:val="28"/>
        </w:rPr>
        <w:t xml:space="preserve">6. Action and impact</w:t>
      </w:r>
    </w:p>
    <w:p>
      <w:pPr>
        <w:spacing w:after="140" w:line="276"/>
      </w:pPr>
      <w:r>
        <w:rPr>
          <w:rFonts w:ascii="Calibri" w:cs="Calibri" w:eastAsia="Calibri" w:hAnsi="Calibri"/>
          <w:sz w:val="21"/>
          <w:szCs w:val="21"/>
        </w:rPr>
        <w:t xml:space="preserve">At a $12.0M budget, the targeted allocation recovers 504 Mm³ against 409 Mm³ for an area-proportional split — 23% more water for the same money, and the same figure on unit cost, so it is not an artefact of spending more.</w:t>
      </w:r>
    </w:p>
    <w:p>
      <w:pPr>
        <w:pStyle w:val="Heading2"/>
        <w:spacing w:after="110" w:before="220"/>
      </w:pPr>
      <w:r>
        <w:rPr>
          <w:rFonts w:ascii="Calibri" w:cs="Calibri" w:eastAsia="Calibri" w:hAnsi="Calibri"/>
          <w:b/>
          <w:bCs/>
          <w:color w:val="2A78D6"/>
          <w:sz w:val="23"/>
          <w:szCs w:val="23"/>
        </w:rPr>
        <w:t xml:space="preserve">How much of that is actually WaPOR?</w:t>
      </w:r>
    </w:p>
    <w:p>
      <w:pPr>
        <w:spacing w:after="140" w:line="276"/>
      </w:pPr>
      <w:r>
        <w:rPr>
          <w:rFonts w:ascii="Calibri" w:cs="Calibri" w:eastAsia="Calibri" w:hAnsi="Calibri"/>
          <w:sz w:val="21"/>
          <w:szCs w:val="21"/>
        </w:rPr>
        <w:t xml:space="preserve">This is the question a jury will ask, so we answered it first. We re-ran the whole allocation with WaPOR progressively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Information available</w:t>
            </w:r>
          </w:p>
        </w:tc>
        <w:tc>
          <w:tcPr>
            <w:tcW w:type="dxa" w:w="256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Gain vs baseline</w:t>
            </w:r>
          </w:p>
        </w:tc>
      </w:tr>
      <w:tr>
        <w:tc>
          <w:tcPr>
            <w:tcW w:type="dxa" w:w="6800"/>
            <w:tcMar>
              <w:top w:type="dxa" w:w="70"/>
              <w:left w:type="dxa" w:w="110"/>
              <w:bottom w:type="dxa" w:w="70"/>
              <w:right w:type="dxa" w:w="110"/>
            </w:tcMar>
          </w:tcPr>
          <w:p>
            <w:pPr>
              <w:spacing w:after="0" w:line="250"/>
            </w:pPr>
            <w:r>
              <w:rPr>
                <w:rFonts w:ascii="Calibri" w:cs="Calibri" w:eastAsia="Calibri" w:hAnsi="Calibri"/>
                <w:sz w:val="19"/>
                <w:szCs w:val="19"/>
              </w:rPr>
              <w:t xml:space="preserve">Real per-district evaporation — what WaPOR gives you</w:t>
            </w:r>
          </w:p>
        </w:tc>
        <w:tc>
          <w:tcPr>
            <w:tcW w:type="dxa" w:w="25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23%</w:t>
            </w:r>
          </w:p>
        </w:tc>
      </w:tr>
      <w:tr>
        <w:tc>
          <w:tcPr>
            <w:tcW w:type="dxa" w:w="68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Evaporation known only as a per-system average — an agronomy textbook</w:t>
            </w:r>
          </w:p>
        </w:tc>
        <w:tc>
          <w:tcPr>
            <w:tcW w:type="dxa" w:w="25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15%</w:t>
            </w:r>
          </w:p>
        </w:tc>
      </w:tr>
      <w:tr>
        <w:tc>
          <w:tcPr>
            <w:tcW w:type="dxa" w:w="6800"/>
            <w:tcMar>
              <w:top w:type="dxa" w:w="70"/>
              <w:left w:type="dxa" w:w="110"/>
              <w:bottom w:type="dxa" w:w="70"/>
              <w:right w:type="dxa" w:w="110"/>
            </w:tcMar>
          </w:tcPr>
          <w:p>
            <w:pPr>
              <w:spacing w:after="0" w:line="250"/>
            </w:pPr>
            <w:r>
              <w:rPr>
                <w:rFonts w:ascii="Calibri" w:cs="Calibri" w:eastAsia="Calibri" w:hAnsi="Calibri"/>
                <w:sz w:val="19"/>
                <w:szCs w:val="19"/>
              </w:rPr>
              <w:t xml:space="preserve">Evaporation spatially flat — no satellite at all</w:t>
            </w:r>
          </w:p>
        </w:tc>
        <w:tc>
          <w:tcPr>
            <w:tcW w:type="dxa" w:w="25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0%</w:t>
            </w:r>
          </w:p>
        </w:tc>
      </w:tr>
    </w:tbl>
    <w:p>
      <w:pPr>
        <w:spacing w:after="60" w:line="276"/>
      </w:pPr>
      <w:r>
        <w:rPr>
          <w:rFonts w:ascii="Calibri" w:cs="Calibri" w:eastAsia="Calibri" w:hAnsi="Calibri"/>
          <w:sz w:val="21"/>
          <w:szCs w:val="21"/>
        </w:rPr>
        <w:t xml:space="preserve"/>
      </w:r>
    </w:p>
    <w:p>
      <w:pPr>
        <w:spacing w:after="140" w:line="276"/>
      </w:pPr>
      <w:r>
        <w:rPr>
          <w:rFonts w:ascii="Calibri" w:cs="Calibri" w:eastAsia="Calibri" w:hAnsi="Calibri"/>
          <w:b/>
          <w:bCs/>
          <w:sz w:val="21"/>
          <w:szCs w:val="21"/>
        </w:rPr>
        <w:t xml:space="preserve">Two honest conclusions. </w:t>
      </w:r>
      <w:r>
        <w:rPr>
          <w:rFonts w:ascii="Calibri" w:cs="Calibri" w:eastAsia="Calibri" w:hAnsi="Calibri"/>
          <w:sz w:val="21"/>
          <w:szCs w:val="21"/>
        </w:rPr>
        <w:t xml:space="preserve">With no spatial information, targeting buys nothing — the entire advantage is spatial, which is the real argument for the satellite. But roughly two thirds of it is recoverable from a coarse agronomic classification, so the part attributable to satellite detail is about </w:t>
      </w:r>
      <w:r>
        <w:rPr>
          <w:rFonts w:ascii="Calibri" w:cs="Calibri" w:eastAsia="Calibri" w:hAnsi="Calibri"/>
          <w:b/>
          <w:bCs/>
          <w:sz w:val="21"/>
          <w:szCs w:val="21"/>
        </w:rPr>
        <w:t xml:space="preserve">8 percentage points</w:t>
      </w:r>
      <w:r>
        <w:rPr>
          <w:rFonts w:ascii="Calibri" w:cs="Calibri" w:eastAsia="Calibri" w:hAnsi="Calibri"/>
          <w:sz w:val="21"/>
          <w:szCs w:val="21"/>
        </w:rPr>
        <w:t xml:space="preserve">, not 23. We would rather state that than have it stated to us.</w:t>
      </w:r>
    </w:p>
    <w:p>
      <w:pPr>
        <w:pStyle w:val="Heading2"/>
        <w:spacing w:after="110" w:before="220"/>
      </w:pPr>
      <w:r>
        <w:rPr>
          <w:rFonts w:ascii="Calibri" w:cs="Calibri" w:eastAsia="Calibri" w:hAnsi="Calibri"/>
          <w:b/>
          <w:bCs/>
          <w:color w:val="2A78D6"/>
          <w:sz w:val="23"/>
          <w:szCs w:val="23"/>
        </w:rPr>
        <w:t xml:space="preserve">Pricing the political constraint</w:t>
      </w:r>
    </w:p>
    <w:p>
      <w:pPr>
        <w:spacing w:after="140" w:line="276"/>
      </w:pPr>
      <w:r>
        <w:rPr>
          <w:rFonts w:ascii="Calibri" w:cs="Calibri" w:eastAsia="Calibri" w:hAnsi="Calibri"/>
          <w:sz w:val="21"/>
          <w:szCs w:val="21"/>
        </w:rPr>
        <w:t xml:space="preserve">Pure cheapest-first funds four governorates out of twenty. No ministry with an equity mandate signs that, so a recommendation that ignores the constraint is one that gets ignored. Instead of optimising around it, we priced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Equity floor</w:t>
            </w:r>
          </w:p>
        </w:tc>
        <w:tc>
          <w:tcPr>
            <w:tcW w:type="dxa" w:w="240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Governorates funded</w:t>
            </w:r>
          </w:p>
        </w:tc>
        <w:tc>
          <w:tcPr>
            <w:tcW w:type="dxa" w:w="240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Water recovered</w:t>
            </w:r>
          </w:p>
        </w:tc>
        <w:tc>
          <w:tcPr>
            <w:tcW w:type="dxa" w:w="256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Cost vs pure targeting</w:t>
            </w:r>
          </w:p>
        </w:tc>
      </w:tr>
      <w:tr>
        <w:tc>
          <w:tcPr>
            <w:tcW w:type="dxa" w:w="2000"/>
            <w:tcMar>
              <w:top w:type="dxa" w:w="70"/>
              <w:left w:type="dxa" w:w="110"/>
              <w:bottom w:type="dxa" w:w="70"/>
              <w:right w:type="dxa" w:w="110"/>
            </w:tcMar>
          </w:tcPr>
          <w:p>
            <w:pPr>
              <w:spacing w:after="0" w:line="250"/>
            </w:pPr>
            <w:r>
              <w:rPr>
                <w:rFonts w:ascii="Calibri" w:cs="Calibri" w:eastAsia="Calibri" w:hAnsi="Calibri"/>
                <w:sz w:val="19"/>
                <w:szCs w:val="19"/>
              </w:rPr>
              <w:t xml:space="preserve">None</w:t>
            </w:r>
          </w:p>
        </w:tc>
        <w:tc>
          <w:tcPr>
            <w:tcW w:type="dxa" w:w="24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4</w:t>
            </w:r>
          </w:p>
        </w:tc>
        <w:tc>
          <w:tcPr>
            <w:tcW w:type="dxa" w:w="24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504 Mm³</w:t>
            </w:r>
          </w:p>
        </w:tc>
        <w:tc>
          <w:tcPr>
            <w:tcW w:type="dxa" w:w="25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w:t>
            </w:r>
          </w:p>
        </w:tc>
      </w:tr>
      <w:tr>
        <w:tc>
          <w:tcPr>
            <w:tcW w:type="dxa" w:w="20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25%</w:t>
            </w:r>
          </w:p>
        </w:tc>
        <w:tc>
          <w:tcPr>
            <w:tcW w:type="dxa" w:w="24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20</w:t>
            </w:r>
          </w:p>
        </w:tc>
        <w:tc>
          <w:tcPr>
            <w:tcW w:type="dxa" w:w="24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484 Mm³</w:t>
            </w:r>
          </w:p>
        </w:tc>
        <w:tc>
          <w:tcPr>
            <w:tcW w:type="dxa" w:w="25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−3.9%</w:t>
            </w:r>
          </w:p>
        </w:tc>
      </w:tr>
      <w:tr>
        <w:tc>
          <w:tcPr>
            <w:tcW w:type="dxa" w:w="2000"/>
            <w:tcMar>
              <w:top w:type="dxa" w:w="70"/>
              <w:left w:type="dxa" w:w="110"/>
              <w:bottom w:type="dxa" w:w="70"/>
              <w:right w:type="dxa" w:w="110"/>
            </w:tcMar>
          </w:tcPr>
          <w:p>
            <w:pPr>
              <w:spacing w:after="0" w:line="250"/>
            </w:pPr>
            <w:r>
              <w:rPr>
                <w:rFonts w:ascii="Calibri" w:cs="Calibri" w:eastAsia="Calibri" w:hAnsi="Calibri"/>
                <w:sz w:val="19"/>
                <w:szCs w:val="19"/>
              </w:rPr>
              <w:t xml:space="preserve">50%</w:t>
            </w:r>
          </w:p>
        </w:tc>
        <w:tc>
          <w:tcPr>
            <w:tcW w:type="dxa" w:w="24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20</w:t>
            </w:r>
          </w:p>
        </w:tc>
        <w:tc>
          <w:tcPr>
            <w:tcW w:type="dxa" w:w="24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464 Mm³</w:t>
            </w:r>
          </w:p>
        </w:tc>
        <w:tc>
          <w:tcPr>
            <w:tcW w:type="dxa" w:w="25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−7.9%</w:t>
            </w:r>
          </w:p>
        </w:tc>
      </w:tr>
      <w:tr>
        <w:tc>
          <w:tcPr>
            <w:tcW w:type="dxa" w:w="20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75%</w:t>
            </w:r>
          </w:p>
        </w:tc>
        <w:tc>
          <w:tcPr>
            <w:tcW w:type="dxa" w:w="24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20</w:t>
            </w:r>
          </w:p>
        </w:tc>
        <w:tc>
          <w:tcPr>
            <w:tcW w:type="dxa" w:w="24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443 Mm³</w:t>
            </w:r>
          </w:p>
        </w:tc>
        <w:tc>
          <w:tcPr>
            <w:tcW w:type="dxa" w:w="256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−12.0%</w:t>
            </w:r>
          </w:p>
        </w:tc>
      </w:tr>
      <w:tr>
        <w:tc>
          <w:tcPr>
            <w:tcW w:type="dxa" w:w="2000"/>
            <w:tcMar>
              <w:top w:type="dxa" w:w="70"/>
              <w:left w:type="dxa" w:w="110"/>
              <w:bottom w:type="dxa" w:w="70"/>
              <w:right w:type="dxa" w:w="110"/>
            </w:tcMar>
          </w:tcPr>
          <w:p>
            <w:pPr>
              <w:spacing w:after="0" w:line="250"/>
            </w:pPr>
            <w:r>
              <w:rPr>
                <w:rFonts w:ascii="Calibri" w:cs="Calibri" w:eastAsia="Calibri" w:hAnsi="Calibri"/>
                <w:sz w:val="19"/>
                <w:szCs w:val="19"/>
              </w:rPr>
              <w:t xml:space="preserve">100%</w:t>
            </w:r>
          </w:p>
        </w:tc>
        <w:tc>
          <w:tcPr>
            <w:tcW w:type="dxa" w:w="24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20</w:t>
            </w:r>
          </w:p>
        </w:tc>
        <w:tc>
          <w:tcPr>
            <w:tcW w:type="dxa" w:w="24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409 Mm³</w:t>
            </w:r>
          </w:p>
        </w:tc>
        <w:tc>
          <w:tcPr>
            <w:tcW w:type="dxa" w:w="2560"/>
            <w:tcMar>
              <w:top w:type="dxa" w:w="70"/>
              <w:left w:type="dxa" w:w="110"/>
              <w:bottom w:type="dxa" w:w="70"/>
              <w:right w:type="dxa" w:w="110"/>
            </w:tcMar>
          </w:tcPr>
          <w:p>
            <w:pPr>
              <w:spacing w:after="0" w:line="250"/>
              <w:jc w:val="right"/>
            </w:pPr>
            <w:r>
              <w:rPr>
                <w:rFonts w:ascii="Calibri" w:cs="Calibri" w:eastAsia="Calibri" w:hAnsi="Calibri"/>
                <w:sz w:val="19"/>
                <w:szCs w:val="19"/>
              </w:rPr>
              <w:t xml:space="preserve">−18.7%</w:t>
            </w:r>
          </w:p>
        </w:tc>
      </w:tr>
    </w:tbl>
    <w:p>
      <w:pPr>
        <w:spacing w:after="60" w:line="276"/>
      </w:pPr>
      <w:r>
        <w:rPr>
          <w:rFonts w:ascii="Calibri" w:cs="Calibri" w:eastAsia="Calibri" w:hAnsi="Calibri"/>
          <w:sz w:val="21"/>
          <w:szCs w:val="21"/>
        </w:rPr>
        <w:t xml:space="preserve"/>
      </w:r>
    </w:p>
    <w:p>
      <w:pPr>
        <w:spacing w:after="140" w:line="276"/>
      </w:pPr>
      <w:r>
        <w:rPr>
          <w:rFonts w:ascii="Calibri" w:cs="Calibri" w:eastAsia="Calibri" w:hAnsi="Calibri"/>
          <w:b/>
          <w:bCs/>
          <w:sz w:val="21"/>
          <w:szCs w:val="21"/>
        </w:rPr>
        <w:t xml:space="preserve">Reserve a quarter of the budget for equity and you fund every governorate for 3.9% of the water. </w:t>
      </w:r>
      <w:r>
        <w:rPr>
          <w:rFonts w:ascii="Calibri" w:cs="Calibri" w:eastAsia="Calibri" w:hAnsi="Calibri"/>
          <w:sz w:val="21"/>
          <w:szCs w:val="21"/>
        </w:rPr>
        <w:t xml:space="preserve">The floor is a live input, so the committee argues with the model in the room and leaves owning the result. The subtheme is explicit that stakeholder engagement happens outside the dataset interface; this is our answer to it.</w:t>
      </w:r>
    </w:p>
    <w:p>
      <w:pPr>
        <w:pStyle w:val="Heading2"/>
        <w:spacing w:after="110" w:before="220"/>
      </w:pPr>
      <w:r>
        <w:rPr>
          <w:rFonts w:ascii="Calibri" w:cs="Calibri" w:eastAsia="Calibri" w:hAnsi="Calibri"/>
          <w:b/>
          <w:bCs/>
          <w:color w:val="2A78D6"/>
          <w:sz w:val="23"/>
          <w:szCs w:val="23"/>
        </w:rPr>
        <w:t xml:space="preserve">Recommended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780"/>
        <w:gridCol w:w="1780"/>
      </w:tblGrid>
      <w:tr>
        <w:trPr>
          <w:tblHeader/>
        </w:trPr>
        <w:tc>
          <w:tcPr>
            <w:tcW w:type="dxa" w:w="2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Governorate</w:t>
            </w:r>
          </w:p>
        </w:tc>
        <w:tc>
          <w:tcPr>
            <w:tcW w:type="dxa" w:w="360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Measure</w:t>
            </w:r>
          </w:p>
        </w:tc>
        <w:tc>
          <w:tcPr>
            <w:tcW w:type="dxa" w:w="178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Funded</w:t>
            </w:r>
          </w:p>
        </w:tc>
        <w:tc>
          <w:tcPr>
            <w:tcW w:type="dxa" w:w="178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Mm³ saved</w:t>
            </w:r>
          </w:p>
        </w:tc>
      </w:tr>
      <w:tr>
        <w:tc>
          <w:tcPr>
            <w:tcW w:type="dxa" w:w="2200"/>
            <w:tcMar>
              <w:top w:type="dxa" w:w="70"/>
              <w:left w:type="dxa" w:w="110"/>
              <w:bottom w:type="dxa" w:w="70"/>
              <w:right w:type="dxa" w:w="110"/>
            </w:tcMar>
          </w:tcPr>
          <w:p>
            <w:pPr>
              <w:spacing w:after="0" w:line="250"/>
            </w:pPr>
            <w:r>
              <w:rPr>
                <w:rFonts w:ascii="Calibri" w:cs="Calibri" w:eastAsia="Calibri" w:hAnsi="Calibri"/>
                <w:sz w:val="19"/>
                <w:szCs w:val="19"/>
              </w:rPr>
              <w:t xml:space="preserve">1. Kafr El Sheikh</w:t>
            </w:r>
          </w:p>
        </w:tc>
        <w:tc>
          <w:tcPr>
            <w:tcW w:type="dxa" w:w="36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$3.7M</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168.5</w:t>
            </w:r>
          </w:p>
        </w:tc>
      </w:tr>
      <w:tr>
        <w:tc>
          <w:tcPr>
            <w:tcW w:type="dxa" w:w="22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 Damietta</w:t>
            </w:r>
          </w:p>
        </w:tc>
        <w:tc>
          <w:tcPr>
            <w:tcW w:type="dxa" w:w="36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$0.6M</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24.7</w:t>
            </w:r>
          </w:p>
        </w:tc>
      </w:tr>
      <w:tr>
        <w:tc>
          <w:tcPr>
            <w:tcW w:type="dxa" w:w="2200"/>
            <w:tcMar>
              <w:top w:type="dxa" w:w="70"/>
              <w:left w:type="dxa" w:w="110"/>
              <w:bottom w:type="dxa" w:w="70"/>
              <w:right w:type="dxa" w:w="110"/>
            </w:tcMar>
          </w:tcPr>
          <w:p>
            <w:pPr>
              <w:spacing w:after="0" w:line="250"/>
            </w:pPr>
            <w:r>
              <w:rPr>
                <w:rFonts w:ascii="Calibri" w:cs="Calibri" w:eastAsia="Calibri" w:hAnsi="Calibri"/>
                <w:sz w:val="19"/>
                <w:szCs w:val="19"/>
              </w:rPr>
              <w:t xml:space="preserve">3. Beheira</w:t>
            </w:r>
          </w:p>
        </w:tc>
        <w:tc>
          <w:tcPr>
            <w:tcW w:type="dxa" w:w="36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$5.83M</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235.4</w:t>
            </w:r>
          </w:p>
        </w:tc>
      </w:tr>
      <w:tr>
        <w:tc>
          <w:tcPr>
            <w:tcW w:type="dxa" w:w="22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 Dakahlia</w:t>
            </w:r>
          </w:p>
        </w:tc>
        <w:tc>
          <w:tcPr>
            <w:tcW w:type="dxa" w:w="36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$1.87M</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75.0</w:t>
            </w:r>
          </w:p>
        </w:tc>
      </w:tr>
    </w:tbl>
    <w:p>
      <w:pPr>
        <w:spacing w:after="140" w:line="276"/>
      </w:pPr>
      <w:r>
        <w:rPr>
          <w:rFonts w:ascii="Calibri" w:cs="Calibri" w:eastAsia="Calibri" w:hAnsi="Calibri"/>
          <w:i/>
          <w:iCs/>
          <w:color w:val="666666"/>
          <w:sz w:val="19"/>
          <w:szCs w:val="19"/>
        </w:rPr>
        <w:t xml:space="preserve">Provisional. All the top-ranked governorates border the northern Delta lakes, and the ranking should not be treated as final until real masked rasters are loaded.</w:t>
      </w:r>
    </w:p>
    <w:p>
      <w:pPr>
        <w:spacing w:after="80" w:line="276"/>
      </w:pPr>
      <w:r>
        <w:rPr>
          <w:rFonts w:ascii="Calibri" w:cs="Calibri" w:eastAsia="Calibri" w:hAnsi="Calibri"/>
          <w:sz w:val="21"/>
          <w:szCs w:val="21"/>
        </w:rPr>
        <w:t xml:space="preserve"/>
      </w:r>
    </w:p>
    <w:p>
      <w:pPr>
        <w:pStyle w:val="Heading2"/>
        <w:spacing w:after="110" w:before="220"/>
      </w:pPr>
      <w:r>
        <w:rPr>
          <w:rFonts w:ascii="Calibri" w:cs="Calibri" w:eastAsia="Calibri" w:hAnsi="Calibri"/>
          <w:b/>
          <w:bCs/>
          <w:color w:val="2A78D6"/>
          <w:sz w:val="23"/>
          <w:szCs w:val="23"/>
        </w:rPr>
        <w:t xml:space="preserve">The full ranked list, top 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780"/>
        <w:gridCol w:w="1780"/>
      </w:tblGrid>
      <w:tr>
        <w:trPr>
          <w:tblHeader/>
        </w:trPr>
        <w:tc>
          <w:tcPr>
            <w:tcW w:type="dxa" w:w="2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Governorate</w:t>
            </w:r>
          </w:p>
        </w:tc>
        <w:tc>
          <w:tcPr>
            <w:tcW w:type="dxa" w:w="360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Measure</w:t>
            </w:r>
          </w:p>
        </w:tc>
        <w:tc>
          <w:tcPr>
            <w:tcW w:type="dxa" w:w="178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USD/m³</w:t>
            </w:r>
          </w:p>
        </w:tc>
        <w:tc>
          <w:tcPr>
            <w:tcW w:type="dxa" w:w="1780"/>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Mm³ available</w:t>
            </w:r>
          </w:p>
        </w:tc>
      </w:tr>
      <w:tr>
        <w:tc>
          <w:tcPr>
            <w:tcW w:type="dxa" w:w="2200"/>
            <w:tcMar>
              <w:top w:type="dxa" w:w="70"/>
              <w:left w:type="dxa" w:w="110"/>
              <w:bottom w:type="dxa" w:w="70"/>
              <w:right w:type="dxa" w:w="110"/>
            </w:tcMar>
          </w:tcPr>
          <w:p>
            <w:pPr>
              <w:spacing w:after="0" w:line="250"/>
            </w:pPr>
            <w:r>
              <w:rPr>
                <w:rFonts w:ascii="Calibri" w:cs="Calibri" w:eastAsia="Calibri" w:hAnsi="Calibri"/>
                <w:sz w:val="19"/>
                <w:szCs w:val="19"/>
              </w:rPr>
              <w:t xml:space="preserve">1. Kafr El Sheikh</w:t>
            </w:r>
          </w:p>
        </w:tc>
        <w:tc>
          <w:tcPr>
            <w:tcW w:type="dxa" w:w="36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$0.022</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168.5</w:t>
            </w:r>
          </w:p>
        </w:tc>
      </w:tr>
      <w:tr>
        <w:tc>
          <w:tcPr>
            <w:tcW w:type="dxa" w:w="22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 Damietta</w:t>
            </w:r>
          </w:p>
        </w:tc>
        <w:tc>
          <w:tcPr>
            <w:tcW w:type="dxa" w:w="36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$0.024</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24.7</w:t>
            </w:r>
          </w:p>
        </w:tc>
      </w:tr>
      <w:tr>
        <w:tc>
          <w:tcPr>
            <w:tcW w:type="dxa" w:w="2200"/>
            <w:tcMar>
              <w:top w:type="dxa" w:w="70"/>
              <w:left w:type="dxa" w:w="110"/>
              <w:bottom w:type="dxa" w:w="70"/>
              <w:right w:type="dxa" w:w="110"/>
            </w:tcMar>
          </w:tcPr>
          <w:p>
            <w:pPr>
              <w:spacing w:after="0" w:line="250"/>
            </w:pPr>
            <w:r>
              <w:rPr>
                <w:rFonts w:ascii="Calibri" w:cs="Calibri" w:eastAsia="Calibri" w:hAnsi="Calibri"/>
                <w:sz w:val="19"/>
                <w:szCs w:val="19"/>
              </w:rPr>
              <w:t xml:space="preserve">3. Beheira</w:t>
            </w:r>
          </w:p>
        </w:tc>
        <w:tc>
          <w:tcPr>
            <w:tcW w:type="dxa" w:w="36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$0.025</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235.4</w:t>
            </w:r>
          </w:p>
        </w:tc>
      </w:tr>
      <w:tr>
        <w:tc>
          <w:tcPr>
            <w:tcW w:type="dxa" w:w="22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 Dakahlia</w:t>
            </w:r>
          </w:p>
        </w:tc>
        <w:tc>
          <w:tcPr>
            <w:tcW w:type="dxa" w:w="36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$0.025</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185.2</w:t>
            </w:r>
          </w:p>
        </w:tc>
      </w:tr>
      <w:tr>
        <w:tc>
          <w:tcPr>
            <w:tcW w:type="dxa" w:w="2200"/>
            <w:tcMar>
              <w:top w:type="dxa" w:w="70"/>
              <w:left w:type="dxa" w:w="110"/>
              <w:bottom w:type="dxa" w:w="70"/>
              <w:right w:type="dxa" w:w="110"/>
            </w:tcMar>
          </w:tcPr>
          <w:p>
            <w:pPr>
              <w:spacing w:after="0" w:line="250"/>
            </w:pPr>
            <w:r>
              <w:rPr>
                <w:rFonts w:ascii="Calibri" w:cs="Calibri" w:eastAsia="Calibri" w:hAnsi="Calibri"/>
                <w:sz w:val="19"/>
                <w:szCs w:val="19"/>
              </w:rPr>
              <w:t xml:space="preserve">5. Qena</w:t>
            </w:r>
          </w:p>
        </w:tc>
        <w:tc>
          <w:tcPr>
            <w:tcW w:type="dxa" w:w="36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$0.025</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72.2</w:t>
            </w:r>
          </w:p>
        </w:tc>
      </w:tr>
      <w:tr>
        <w:tc>
          <w:tcPr>
            <w:tcW w:type="dxa" w:w="22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 Luxor</w:t>
            </w:r>
          </w:p>
        </w:tc>
        <w:tc>
          <w:tcPr>
            <w:tcW w:type="dxa" w:w="36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$0.030</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19.7</w:t>
            </w:r>
          </w:p>
        </w:tc>
      </w:tr>
      <w:tr>
        <w:tc>
          <w:tcPr>
            <w:tcW w:type="dxa" w:w="2200"/>
            <w:tcMar>
              <w:top w:type="dxa" w:w="70"/>
              <w:left w:type="dxa" w:w="110"/>
              <w:bottom w:type="dxa" w:w="70"/>
              <w:right w:type="dxa" w:w="110"/>
            </w:tcMar>
          </w:tcPr>
          <w:p>
            <w:pPr>
              <w:spacing w:after="0" w:line="250"/>
            </w:pPr>
            <w:r>
              <w:rPr>
                <w:rFonts w:ascii="Calibri" w:cs="Calibri" w:eastAsia="Calibri" w:hAnsi="Calibri"/>
                <w:sz w:val="19"/>
                <w:szCs w:val="19"/>
              </w:rPr>
              <w:t xml:space="preserve">7. Assiut</w:t>
            </w:r>
          </w:p>
        </w:tc>
        <w:tc>
          <w:tcPr>
            <w:tcW w:type="dxa" w:w="36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$0.030</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81.1</w:t>
            </w:r>
          </w:p>
        </w:tc>
      </w:tr>
      <w:tr>
        <w:tc>
          <w:tcPr>
            <w:tcW w:type="dxa" w:w="22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8. Beni Suef</w:t>
            </w:r>
          </w:p>
        </w:tc>
        <w:tc>
          <w:tcPr>
            <w:tcW w:type="dxa" w:w="36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$0.031</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56.6</w:t>
            </w:r>
          </w:p>
        </w:tc>
      </w:tr>
      <w:tr>
        <w:tc>
          <w:tcPr>
            <w:tcW w:type="dxa" w:w="2200"/>
            <w:tcMar>
              <w:top w:type="dxa" w:w="70"/>
              <w:left w:type="dxa" w:w="110"/>
              <w:bottom w:type="dxa" w:w="70"/>
              <w:right w:type="dxa" w:w="110"/>
            </w:tcMar>
          </w:tcPr>
          <w:p>
            <w:pPr>
              <w:spacing w:after="0" w:line="250"/>
            </w:pPr>
            <w:r>
              <w:rPr>
                <w:rFonts w:ascii="Calibri" w:cs="Calibri" w:eastAsia="Calibri" w:hAnsi="Calibri"/>
                <w:sz w:val="19"/>
                <w:szCs w:val="19"/>
              </w:rPr>
              <w:t xml:space="preserve">9. Aswan</w:t>
            </w:r>
          </w:p>
        </w:tc>
        <w:tc>
          <w:tcPr>
            <w:tcW w:type="dxa" w:w="3600"/>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$0.031</w:t>
            </w:r>
          </w:p>
        </w:tc>
        <w:tc>
          <w:tcPr>
            <w:tcW w:type="dxa" w:w="1780"/>
            <w:tcMar>
              <w:top w:type="dxa" w:w="70"/>
              <w:left w:type="dxa" w:w="110"/>
              <w:bottom w:type="dxa" w:w="70"/>
              <w:right w:type="dxa" w:w="110"/>
            </w:tcMar>
          </w:tcPr>
          <w:p>
            <w:pPr>
              <w:spacing w:after="0" w:line="250"/>
              <w:jc w:val="right"/>
            </w:pPr>
            <w:r>
              <w:rPr>
                <w:rFonts w:ascii="Calibri" w:cs="Calibri" w:eastAsia="Calibri" w:hAnsi="Calibri"/>
                <w:sz w:val="19"/>
                <w:szCs w:val="19"/>
              </w:rPr>
              <w:t xml:space="preserve">27.8</w:t>
            </w:r>
          </w:p>
        </w:tc>
      </w:tr>
      <w:tr>
        <w:tc>
          <w:tcPr>
            <w:tcW w:type="dxa" w:w="2200"/>
            <w:shd w:fill="F2F6FB"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10. Minya</w:t>
            </w:r>
          </w:p>
        </w:tc>
        <w:tc>
          <w:tcPr>
            <w:tcW w:type="dxa" w:w="360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Laser land levelling</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$0.031</w:t>
            </w:r>
          </w:p>
        </w:tc>
        <w:tc>
          <w:tcPr>
            <w:tcW w:type="dxa" w:w="1780"/>
            <w:shd w:fill="F2F6FB" w:color="auto" w:val="clear"/>
            <w:tcMar>
              <w:top w:type="dxa" w:w="70"/>
              <w:left w:type="dxa" w:w="110"/>
              <w:bottom w:type="dxa" w:w="70"/>
              <w:right w:type="dxa" w:w="110"/>
            </w:tcMar>
          </w:tcPr>
          <w:p>
            <w:pPr>
              <w:spacing w:after="0" w:line="250"/>
              <w:jc w:val="right"/>
            </w:pPr>
            <w:r>
              <w:rPr>
                <w:rFonts w:ascii="Calibri" w:cs="Calibri" w:eastAsia="Calibri" w:hAnsi="Calibri"/>
                <w:sz w:val="19"/>
                <w:szCs w:val="19"/>
              </w:rPr>
              <w:t xml:space="preserve">117.8</w:t>
            </w:r>
          </w:p>
        </w:tc>
      </w:tr>
    </w:tbl>
    <w:p>
      <w:pPr>
        <w:spacing w:after="140" w:line="276"/>
      </w:pPr>
      <w:r>
        <w:rPr>
          <w:rFonts w:ascii="Calibri" w:cs="Calibri" w:eastAsia="Calibri" w:hAnsi="Calibri"/>
          <w:b/>
          <w:bCs/>
          <w:sz w:val="21"/>
          <w:szCs w:val="21"/>
        </w:rPr>
        <w:t xml:space="preserve">And because WaPOR observes the same district again next season, the effect of the spending can be measured with the same data that justified it. That closes an accountability loop which currently does not exist.</w:t>
      </w:r>
    </w:p>
    <w:p>
      <w:pPr>
        <w:pStyle w:val="Heading1"/>
        <w:spacing w:after="150" w:before="300"/>
      </w:pPr>
      <w:r>
        <w:rPr>
          <w:rFonts w:ascii="Calibri" w:cs="Calibri" w:eastAsia="Calibri" w:hAnsi="Calibri"/>
          <w:b/>
          <w:bCs/>
          <w:color w:val="1F4E79"/>
          <w:sz w:val="28"/>
          <w:szCs w:val="28"/>
        </w:rPr>
        <w:t xml:space="preserve">7. Ecosystem and delivery</w:t>
      </w:r>
    </w:p>
    <w:p>
      <w:pPr>
        <w:pStyle w:val="ListParagraph"/>
        <w:numPr>
          <w:ilvl w:val="0"/>
          <w:numId w:val="2"/>
        </w:numPr>
        <w:spacing w:after="80" w:line="276"/>
      </w:pPr>
      <w:r>
        <w:rPr>
          <w:rFonts w:ascii="Calibri" w:cs="Calibri" w:eastAsia="Calibri" w:hAnsi="Calibri"/>
          <w:sz w:val="21"/>
          <w:szCs w:val="21"/>
        </w:rPr>
        <w:t xml:space="preserve">Sits downstream of IPAT, which is already operational inside MWRI — this is an added layer, not a competing tool.</w:t>
      </w:r>
    </w:p>
    <w:p>
      <w:pPr>
        <w:pStyle w:val="ListParagraph"/>
        <w:numPr>
          <w:ilvl w:val="0"/>
          <w:numId w:val="2"/>
        </w:numPr>
        <w:spacing w:after="80" w:line="276"/>
      </w:pPr>
      <w:r>
        <w:rPr>
          <w:rFonts w:ascii="Calibri" w:cs="Calibri" w:eastAsia="Calibri" w:hAnsi="Calibri"/>
          <w:sz w:val="21"/>
          <w:szCs w:val="21"/>
        </w:rPr>
        <w:t xml:space="preserve">Delivered as a two-page district brief, the format a ministry memo already uses, exportable in one click.</w:t>
      </w:r>
    </w:p>
    <w:p>
      <w:pPr>
        <w:pStyle w:val="ListParagraph"/>
        <w:numPr>
          <w:ilvl w:val="0"/>
          <w:numId w:val="2"/>
        </w:numPr>
        <w:spacing w:after="80" w:line="276"/>
      </w:pPr>
      <w:r>
        <w:rPr>
          <w:rFonts w:ascii="Calibri" w:cs="Calibri" w:eastAsia="Calibri" w:hAnsi="Calibri"/>
          <w:sz w:val="21"/>
          <w:szCs w:val="21"/>
        </w:rPr>
        <w:t xml:space="preserve">Plus a web dashboard where the budget is a slider, so the committee can explore allocations live in the room rather than receiving a fixed recommendation.</w:t>
      </w:r>
    </w:p>
    <w:p>
      <w:pPr>
        <w:pStyle w:val="ListParagraph"/>
        <w:numPr>
          <w:ilvl w:val="0"/>
          <w:numId w:val="2"/>
        </w:numPr>
        <w:spacing w:after="80" w:line="276"/>
      </w:pPr>
      <w:r>
        <w:rPr>
          <w:rFonts w:ascii="Calibri" w:cs="Calibri" w:eastAsia="Calibri" w:hAnsi="Calibri"/>
          <w:sz w:val="21"/>
          <w:szCs w:val="21"/>
        </w:rPr>
        <w:t xml:space="preserve">Runs on WaPOR Level 2 (100 m), which is globally available — no dependency on Level 3 coverage, so the method transfers to any WaPOR country.</w:t>
      </w:r>
    </w:p>
    <w:p>
      <w:pPr>
        <w:pStyle w:val="ListParagraph"/>
        <w:numPr>
          <w:ilvl w:val="0"/>
          <w:numId w:val="2"/>
        </w:numPr>
        <w:spacing w:after="80" w:line="276"/>
      </w:pPr>
      <w:r>
        <w:rPr>
          <w:rFonts w:ascii="Calibri" w:cs="Calibri" w:eastAsia="Calibri" w:hAnsi="Calibri"/>
          <w:sz w:val="21"/>
          <w:szCs w:val="21"/>
        </w:rPr>
        <w:t xml:space="preserve">Fits the existing annual planning cycle. No new process, no new login, no new institution.</w:t>
      </w:r>
    </w:p>
    <w:p>
      <w:pPr>
        <w:pStyle w:val="ListParagraph"/>
        <w:numPr>
          <w:ilvl w:val="0"/>
          <w:numId w:val="2"/>
        </w:numPr>
        <w:spacing w:after="80" w:line="276"/>
      </w:pPr>
      <w:r>
        <w:rPr>
          <w:rFonts w:ascii="Calibri" w:cs="Calibri" w:eastAsia="Calibri" w:hAnsi="Calibri"/>
          <w:sz w:val="21"/>
          <w:szCs w:val="21"/>
        </w:rPr>
        <w:t xml:space="preserve">Fully open: Python pipeline plus a single self-contained HTML file that works offline.</w:t>
      </w:r>
    </w:p>
    <w:p>
      <w:pPr>
        <w:pStyle w:val="Heading1"/>
        <w:spacing w:after="150" w:before="300"/>
      </w:pPr>
      <w:r>
        <w:rPr>
          <w:rFonts w:ascii="Calibri" w:cs="Calibri" w:eastAsia="Calibri" w:hAnsi="Calibri"/>
          <w:b/>
          <w:bCs/>
          <w:color w:val="1F4E79"/>
          <w:sz w:val="28"/>
          <w:szCs w:val="28"/>
        </w:rPr>
        <w:t xml:space="preserve">8. What we are not claiming</w:t>
      </w:r>
    </w:p>
    <w:p>
      <w:pPr>
        <w:spacing w:after="140" w:line="276"/>
      </w:pPr>
      <w:r>
        <w:rPr>
          <w:rFonts w:ascii="Calibri" w:cs="Calibri" w:eastAsia="Calibri" w:hAnsi="Calibri"/>
          <w:sz w:val="21"/>
          <w:szCs w:val="21"/>
        </w:rPr>
        <w:t xml:space="preserve">Three limitations, stated before anyone has to ask.</w:t>
      </w:r>
    </w:p>
    <w:p>
      <w:pPr>
        <w:spacing w:after="140" w:line="276"/>
      </w:pPr>
      <w:r>
        <w:rPr>
          <w:rFonts w:ascii="Calibri" w:cs="Calibri" w:eastAsia="Calibri" w:hAnsi="Calibri"/>
          <w:b/>
          <w:bCs/>
          <w:sz w:val="21"/>
          <w:szCs w:val="21"/>
        </w:rPr>
        <w:t xml:space="preserve">Field-scale is not basin-scale. </w:t>
      </w:r>
      <w:r>
        <w:rPr>
          <w:rFonts w:ascii="Calibri" w:cs="Calibri" w:eastAsia="Calibri" w:hAnsi="Calibri"/>
          <w:sz w:val="21"/>
          <w:szCs w:val="21"/>
        </w:rPr>
        <w:t xml:space="preserve">Water that evaporates is genuinely lost, but not everything an intervention frees up was evaporating — some was returning to a drain or aquifer and being reused downstream. In a closed system like the Delta, reuse is high. These figures are for prioritisation, for ranking places against each other. They are not a water account, and the two must not be conflated.</w:t>
      </w:r>
    </w:p>
    <w:p>
      <w:pPr>
        <w:spacing w:after="140" w:line="276"/>
      </w:pPr>
      <w:r>
        <w:rPr>
          <w:rFonts w:ascii="Calibri" w:cs="Calibri" w:eastAsia="Calibri" w:hAnsi="Calibri"/>
          <w:b/>
          <w:bCs/>
          <w:sz w:val="21"/>
          <w:szCs w:val="21"/>
        </w:rPr>
        <w:t xml:space="preserve">The magnitude is soft; the order is not. </w:t>
      </w:r>
      <w:r>
        <w:rPr>
          <w:rFonts w:ascii="Calibri" w:cs="Calibri" w:eastAsia="Calibri" w:hAnsi="Calibri"/>
          <w:sz w:val="21"/>
          <w:szCs w:val="21"/>
        </w:rPr>
        <w:t xml:space="preserve">Intervention costs and evaporation-reduction fractions are literature-order figures, not measurements, and the size of the prize moves with every one of them. Rather than bury them we made each an editable input. An earlier version of this document claimed the recommendation survived a threefold increase in the cost of alternate wetting and drying; adversarial testing of our own model showed it did not, and we withdrew the claim and corrected the underlying coefficient on physical grounds. The ranking of places is what is robust, because it is driven by observed evaporation, which varies about twofold across the study area.</w:t>
      </w:r>
    </w:p>
    <w:p>
      <w:pPr>
        <w:spacing w:after="140" w:line="276"/>
      </w:pPr>
      <w:r>
        <w:rPr>
          <w:rFonts w:ascii="Calibri" w:cs="Calibri" w:eastAsia="Calibri" w:hAnsi="Calibri"/>
          <w:b/>
          <w:bCs/>
          <w:sz w:val="21"/>
          <w:szCs w:val="21"/>
        </w:rPr>
        <w:t xml:space="preserve">Alternate wetting and drying saves percolation, not mainly evaporation. </w:t>
      </w:r>
      <w:r>
        <w:rPr>
          <w:rFonts w:ascii="Calibri" w:cs="Calibri" w:eastAsia="Calibri" w:hAnsi="Calibri"/>
          <w:sz w:val="21"/>
          <w:szCs w:val="21"/>
        </w:rPr>
        <w:t xml:space="preserve">Its headline saving in the literature is in water applied. In the closed, high-reuse Delta, percolation is largely recovered downstream, so we deliberately exclude it and count only the evaporation component — removing the free water surface for part of the season. That is why our coefficient is 10%, not the 25–30% usually quoted, and why laser land levelling is the measure the model now selects.</w:t>
      </w:r>
    </w:p>
    <w:p>
      <w:pPr>
        <w:spacing w:after="140" w:line="276"/>
      </w:pPr>
      <w:r>
        <w:rPr>
          <w:rFonts w:ascii="Calibri" w:cs="Calibri" w:eastAsia="Calibri" w:hAnsi="Calibri"/>
          <w:b/>
          <w:bCs/>
          <w:sz w:val="21"/>
          <w:szCs w:val="21"/>
        </w:rPr>
        <w:t xml:space="preserve">Retrieval is weakest where our signal is. </w:t>
      </w:r>
      <w:r>
        <w:rPr>
          <w:rFonts w:ascii="Calibri" w:cs="Calibri" w:eastAsia="Calibri" w:hAnsi="Calibri"/>
          <w:sz w:val="21"/>
          <w:szCs w:val="21"/>
        </w:rPr>
        <w:t xml:space="preserve">ETLook’s evaporation–transpiration partitioning is least constrained over standing water and flooded surfaces — exactly the land surface our result rests on. There is no rebuttal to this. It is a reason for field validation, not for confidence.</w:t>
      </w:r>
    </w:p>
    <w:p>
      <w:pPr>
        <w:spacing w:after="140" w:line="276"/>
      </w:pPr>
      <w:r>
        <w:rPr>
          <w:rFonts w:ascii="Calibri" w:cs="Calibri" w:eastAsia="Calibri" w:hAnsi="Calibri"/>
          <w:b/>
          <w:bCs/>
          <w:sz w:val="21"/>
          <w:szCs w:val="21"/>
        </w:rPr>
        <w:t xml:space="preserve">The comparator is a neutral prior, not observed practice. </w:t>
      </w:r>
      <w:r>
        <w:rPr>
          <w:rFonts w:ascii="Calibri" w:cs="Calibri" w:eastAsia="Calibri" w:hAnsi="Calibri"/>
          <w:sz w:val="21"/>
          <w:szCs w:val="21"/>
        </w:rPr>
        <w:t xml:space="preserve">We have no citation for how MWRI actually splits this budget, and much of Egypt’s on-farm modernisation is delivered through irrigation directorates rather than governorates. We compare against area-proportional allocation because that is what you would do knowing only where the cropland is — not because we claim it is what happens.</w:t>
      </w:r>
    </w:p>
    <w:p>
      <w:pPr>
        <w:pStyle w:val="Heading1"/>
        <w:spacing w:after="150" w:before="300"/>
      </w:pPr>
      <w:r>
        <w:rPr>
          <w:rFonts w:ascii="Calibri" w:cs="Calibri" w:eastAsia="Calibri" w:hAnsi="Calibri"/>
          <w:b/>
          <w:bCs/>
          <w:color w:val="1F4E79"/>
          <w:sz w:val="28"/>
          <w:szCs w:val="28"/>
        </w:rPr>
        <w:t xml:space="preserve">9. Next steps</w:t>
      </w:r>
    </w:p>
    <w:p>
      <w:pPr>
        <w:pStyle w:val="ListParagraph"/>
        <w:numPr>
          <w:ilvl w:val="0"/>
          <w:numId w:val="2"/>
        </w:numPr>
        <w:spacing w:after="80" w:line="276"/>
      </w:pPr>
      <w:r>
        <w:rPr>
          <w:rFonts w:ascii="Calibri" w:cs="Calibri" w:eastAsia="Calibri" w:hAnsi="Calibri"/>
          <w:sz w:val="21"/>
          <w:szCs w:val="21"/>
        </w:rPr>
        <w:t xml:space="preserve">Replace the demo values with real WaPOR v3 Level 2 rasters for the 2024 summer season.</w:t>
      </w:r>
    </w:p>
    <w:p>
      <w:pPr>
        <w:pStyle w:val="ListParagraph"/>
        <w:numPr>
          <w:ilvl w:val="0"/>
          <w:numId w:val="2"/>
        </w:numPr>
        <w:spacing w:after="80" w:line="276"/>
      </w:pPr>
      <w:r>
        <w:rPr>
          <w:rFonts w:ascii="Calibri" w:cs="Calibri" w:eastAsia="Calibri" w:hAnsi="Calibri"/>
          <w:sz w:val="21"/>
          <w:szCs w:val="21"/>
        </w:rPr>
        <w:t xml:space="preserve">Verify the open-water mask on real rasters — Burullus, Manzala, Idku, Maryut and Qarun all sit inside top-ranked governorates. Masking is implemented twice (beneficial fraction in the pipeline, JRC surface water at source) but has not yet run against real data.</w:t>
      </w:r>
    </w:p>
    <w:p>
      <w:pPr>
        <w:pStyle w:val="ListParagraph"/>
        <w:numPr>
          <w:ilvl w:val="0"/>
          <w:numId w:val="2"/>
        </w:numPr>
        <w:spacing w:after="80" w:line="276"/>
      </w:pPr>
      <w:r>
        <w:rPr>
          <w:rFonts w:ascii="Calibri" w:cs="Calibri" w:eastAsia="Calibri" w:hAnsi="Calibri"/>
          <w:sz w:val="21"/>
          <w:szCs w:val="21"/>
        </w:rPr>
        <w:t xml:space="preserve">Build the attribution panel: WaPOR evaporation for 2023 and 2024 over funded and unfunded governorates, as a difference-in-differences with the confidence interval shown — including the case where the effect is too small to detect.</w:t>
      </w:r>
    </w:p>
    <w:p>
      <w:pPr>
        <w:pStyle w:val="ListParagraph"/>
        <w:numPr>
          <w:ilvl w:val="0"/>
          <w:numId w:val="2"/>
        </w:numPr>
        <w:spacing w:after="80" w:line="276"/>
      </w:pPr>
      <w:r>
        <w:rPr>
          <w:rFonts w:ascii="Calibri" w:cs="Calibri" w:eastAsia="Calibri" w:hAnsi="Calibri"/>
          <w:sz w:val="21"/>
          <w:szCs w:val="21"/>
        </w:rPr>
        <w:t xml:space="preserve">Replace approximate cultivated-area figures with MALR / CAPMAS statistics.</w:t>
      </w:r>
    </w:p>
    <w:p>
      <w:pPr>
        <w:pStyle w:val="ListParagraph"/>
        <w:numPr>
          <w:ilvl w:val="0"/>
          <w:numId w:val="2"/>
        </w:numPr>
        <w:spacing w:after="80" w:line="276"/>
      </w:pPr>
      <w:r>
        <w:rPr>
          <w:rFonts w:ascii="Calibri" w:cs="Calibri" w:eastAsia="Calibri" w:hAnsi="Calibri"/>
          <w:sz w:val="21"/>
          <w:szCs w:val="21"/>
        </w:rPr>
        <w:t xml:space="preserve">Swap governorates for MWRI irrigation-directorate boundaries — the single highest-value upgrade, and the one that connects this directly to IPAT’s 20 m outputs.</w:t>
      </w:r>
    </w:p>
    <w:p>
      <w:pPr>
        <w:pStyle w:val="ListParagraph"/>
        <w:numPr>
          <w:ilvl w:val="0"/>
          <w:numId w:val="2"/>
        </w:numPr>
        <w:spacing w:after="80" w:line="276"/>
      </w:pPr>
      <w:r>
        <w:rPr>
          <w:rFonts w:ascii="Calibri" w:cs="Calibri" w:eastAsia="Calibri" w:hAnsi="Calibri"/>
          <w:sz w:val="21"/>
          <w:szCs w:val="21"/>
        </w:rPr>
        <w:t xml:space="preserve">Put the two-page brief in front of one real MWRI planning officer and record what they say. One quotation from an actual user is worth more in the final pitch than any amount of further modelling.</w:t>
      </w:r>
    </w:p>
    <w:p>
      <w:pPr>
        <w:pStyle w:val="Heading1"/>
        <w:spacing w:after="150" w:before="300"/>
      </w:pPr>
      <w:r>
        <w:rPr>
          <w:rFonts w:ascii="Calibri" w:cs="Calibri" w:eastAsia="Calibri" w:hAnsi="Calibri"/>
          <w:b/>
          <w:bCs/>
          <w:color w:val="1F4E79"/>
          <w:sz w:val="28"/>
          <w:szCs w:val="28"/>
        </w:rPr>
        <w:t xml:space="preserve">Sources</w:t>
      </w:r>
    </w:p>
    <w:p>
      <w:pPr>
        <w:spacing w:after="140" w:line="276"/>
      </w:pPr>
      <w:r>
        <w:rPr>
          <w:rFonts w:ascii="Calibri" w:cs="Calibri" w:eastAsia="Calibri" w:hAnsi="Calibri"/>
          <w:color w:val="666666"/>
          <w:sz w:val="19"/>
          <w:szCs w:val="19"/>
        </w:rPr>
        <w:t xml:space="preserve">IPAT, Irrigation assessment tool for Egypt (MWRI / IWMI / IHE Delft / FAO) — zemamipa.streamlit.app</w:t>
      </w:r>
    </w:p>
    <w:p>
      <w:pPr>
        <w:spacing w:after="140" w:line="276"/>
      </w:pPr>
      <w:r>
        <w:rPr>
          <w:rFonts w:ascii="Calibri" w:cs="Calibri" w:eastAsia="Calibri" w:hAnsi="Calibri"/>
          <w:color w:val="666666"/>
          <w:sz w:val="19"/>
          <w:szCs w:val="19"/>
        </w:rPr>
        <w:t xml:space="preserve">FAO WaPOR v3, Level 2 100 m dekadal AETI, E, T, I — wapor.apps.fao.org</w:t>
      </w:r>
    </w:p>
    <w:p>
      <w:pPr>
        <w:spacing w:after="140" w:line="276"/>
      </w:pPr>
      <w:r>
        <w:rPr>
          <w:rFonts w:ascii="Calibri" w:cs="Calibri" w:eastAsia="Calibri" w:hAnsi="Calibri"/>
          <w:color w:val="666666"/>
          <w:sz w:val="19"/>
          <w:szCs w:val="19"/>
        </w:rPr>
        <w:t xml:space="preserve">WaPORIPA, standardised irrigation performance assessment protocol — github.com/wateraccounting/WaPORIPA</w:t>
      </w:r>
    </w:p>
    <w:p>
      <w:pPr>
        <w:spacing w:after="140" w:line="276"/>
      </w:pPr>
      <w:r>
        <w:rPr>
          <w:rFonts w:ascii="Calibri" w:cs="Calibri" w:eastAsia="Calibri" w:hAnsi="Calibri"/>
          <w:color w:val="666666"/>
          <w:sz w:val="19"/>
          <w:szCs w:val="19"/>
        </w:rPr>
        <w:t xml:space="preserve">FAO WaPOR tools in co-development — fao.org/in-action/remote-sensing-for-water-productivity</w:t>
      </w:r>
    </w:p>
    <w:p>
      <w:pPr>
        <w:spacing w:after="140" w:line="276"/>
      </w:pPr>
      <w:r>
        <w:rPr>
          <w:rFonts w:ascii="Calibri" w:cs="Calibri" w:eastAsia="Calibri" w:hAnsi="Calibri"/>
          <w:color w:val="666666"/>
          <w:sz w:val="19"/>
          <w:szCs w:val="19"/>
        </w:rPr>
        <w:t xml:space="preserve">Administrative boundaries: Natural Earth admin-1, public domain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WaPOR Hackathon 2026 · Team 39 · Where the Water Goes · 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Water Goes</dc:title>
  <dc:creator>WaPOR Hackathon 2026 — Team 39</dc:creator>
  <dc:description>Turning WaPOR evaporation data into a budget allocation decision</dc:description>
  <cp:lastModifiedBy>Un-named</cp:lastModifiedBy>
  <cp:revision>1</cp:revision>
  <dcterms:created xsi:type="dcterms:W3CDTF">2026-08-19T14:52:34.824Z</dcterms:created>
  <dcterms:modified xsi:type="dcterms:W3CDTF">2026-08-19T14:52:34.824Z</dcterms:modified>
</cp:coreProperties>
</file>

<file path=docProps/custom.xml><?xml version="1.0" encoding="utf-8"?>
<Properties xmlns="http://schemas.openxmlformats.org/officeDocument/2006/custom-properties" xmlns:vt="http://schemas.openxmlformats.org/officeDocument/2006/docPropsVTypes"/>
</file>