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2B25" w14:textId="3695FC3D" w:rsidR="00370B5F" w:rsidRPr="00001562" w:rsidRDefault="00370B5F" w:rsidP="00133BC5">
      <w:pPr>
        <w:spacing w:line="360" w:lineRule="auto"/>
        <w:rPr>
          <w:rFonts w:ascii="Times New Roman" w:hAnsi="Times New Roman" w:cs="Times New Roman"/>
          <w:b/>
          <w:u w:val="single"/>
        </w:rPr>
      </w:pPr>
      <w:r w:rsidRPr="00001562">
        <w:rPr>
          <w:rFonts w:ascii="Times New Roman" w:hAnsi="Times New Roman" w:cs="Times New Roman"/>
          <w:b/>
          <w:u w:val="single"/>
        </w:rPr>
        <w:t>Research Statement</w:t>
      </w:r>
    </w:p>
    <w:p w14:paraId="1039093B" w14:textId="6F045728" w:rsidR="00370B5F" w:rsidRPr="00001562" w:rsidRDefault="00C12CD1" w:rsidP="00133BC5">
      <w:pPr>
        <w:spacing w:line="360" w:lineRule="auto"/>
        <w:rPr>
          <w:rFonts w:ascii="Times New Roman" w:hAnsi="Times New Roman" w:cs="Times New Roman"/>
        </w:rPr>
      </w:pPr>
      <w:r w:rsidRPr="00001562">
        <w:rPr>
          <w:rFonts w:ascii="Times New Roman" w:hAnsi="Times New Roman" w:cs="Times New Roman"/>
        </w:rPr>
        <w:t xml:space="preserve">July </w:t>
      </w:r>
      <w:r w:rsidR="000119D2" w:rsidRPr="00001562">
        <w:rPr>
          <w:rFonts w:ascii="Times New Roman" w:hAnsi="Times New Roman" w:cs="Times New Roman"/>
        </w:rPr>
        <w:t>2</w:t>
      </w:r>
      <w:r w:rsidR="009F2B9B" w:rsidRPr="00001562">
        <w:rPr>
          <w:rFonts w:ascii="Times New Roman" w:hAnsi="Times New Roman" w:cs="Times New Roman"/>
        </w:rPr>
        <w:t>7</w:t>
      </w:r>
      <w:r w:rsidR="000119D2" w:rsidRPr="00001562">
        <w:rPr>
          <w:rFonts w:ascii="Times New Roman" w:hAnsi="Times New Roman" w:cs="Times New Roman"/>
        </w:rPr>
        <w:t>, 2023</w:t>
      </w:r>
    </w:p>
    <w:p w14:paraId="7723C74A" w14:textId="77777777" w:rsidR="00370B5F" w:rsidRPr="00001562" w:rsidRDefault="00370B5F" w:rsidP="00133BC5">
      <w:pPr>
        <w:spacing w:line="360" w:lineRule="auto"/>
        <w:rPr>
          <w:rFonts w:ascii="Times New Roman" w:hAnsi="Times New Roman" w:cs="Times New Roman"/>
        </w:rPr>
      </w:pPr>
      <w:r w:rsidRPr="00001562">
        <w:rPr>
          <w:rFonts w:ascii="Times New Roman" w:hAnsi="Times New Roman" w:cs="Times New Roman"/>
        </w:rPr>
        <w:t>Sanjay R. Singh</w:t>
      </w:r>
    </w:p>
    <w:p w14:paraId="1DCF8469" w14:textId="77777777" w:rsidR="000119D2" w:rsidRPr="00001562" w:rsidRDefault="00370B5F" w:rsidP="00133BC5">
      <w:pPr>
        <w:pStyle w:val="NormalWeb"/>
        <w:spacing w:line="360" w:lineRule="auto"/>
        <w:jc w:val="both"/>
      </w:pPr>
      <w:r w:rsidRPr="00001562">
        <w:t>My current research is on macroeconomics and monetary economics</w:t>
      </w:r>
      <w:r w:rsidR="00C12CD1" w:rsidRPr="00001562">
        <w:t xml:space="preserve">. </w:t>
      </w:r>
    </w:p>
    <w:p w14:paraId="32A15E31" w14:textId="13F19641" w:rsidR="00370B5F" w:rsidRPr="00001562" w:rsidRDefault="000119D2" w:rsidP="00133BC5">
      <w:pPr>
        <w:pStyle w:val="NormalWeb"/>
        <w:spacing w:line="360" w:lineRule="auto"/>
        <w:jc w:val="both"/>
      </w:pPr>
      <w:r w:rsidRPr="00001562">
        <w:t>My work has primarily focused on the interaction of business-cycle stabilization policies and the macroeconomy. I have t</w:t>
      </w:r>
      <w:r w:rsidR="00370B5F" w:rsidRPr="00001562">
        <w:t xml:space="preserve">heoretically and empirically examined the </w:t>
      </w:r>
      <w:r w:rsidRPr="00001562">
        <w:t>possibility of</w:t>
      </w:r>
      <w:r w:rsidR="00370B5F" w:rsidRPr="00001562">
        <w:t xml:space="preserve"> </w:t>
      </w:r>
      <w:r w:rsidRPr="00001562">
        <w:t>persistent effects of transitory business cycle shocks</w:t>
      </w:r>
      <w:r w:rsidR="00370B5F" w:rsidRPr="00001562">
        <w:t xml:space="preserve">, </w:t>
      </w:r>
      <w:r w:rsidR="00C12CD1" w:rsidRPr="00001562">
        <w:t xml:space="preserve">developed theoretical insights on emergence of safe asset scarcity, </w:t>
      </w:r>
      <w:r w:rsidR="006064E2" w:rsidRPr="00001562">
        <w:t xml:space="preserve">and </w:t>
      </w:r>
      <w:r w:rsidR="00796169" w:rsidRPr="00001562">
        <w:t>analyzed the usefulness of</w:t>
      </w:r>
      <w:r w:rsidR="006064E2" w:rsidRPr="00001562">
        <w:t xml:space="preserve"> </w:t>
      </w:r>
      <w:r w:rsidR="00796169" w:rsidRPr="00001562">
        <w:t>modeling</w:t>
      </w:r>
      <w:r w:rsidR="006064E2" w:rsidRPr="00001562">
        <w:t xml:space="preserve"> behavioral </w:t>
      </w:r>
      <w:r w:rsidR="00796169" w:rsidRPr="00001562">
        <w:t xml:space="preserve">expectations in the </w:t>
      </w:r>
      <w:r w:rsidR="006064E2" w:rsidRPr="00001562">
        <w:t xml:space="preserve">new Keynesian </w:t>
      </w:r>
      <w:r w:rsidR="00796169" w:rsidRPr="00001562">
        <w:t>framework</w:t>
      </w:r>
      <w:r w:rsidR="00C12CD1" w:rsidRPr="00001562">
        <w:t>.</w:t>
      </w:r>
      <w:r w:rsidR="00BB3E33" w:rsidRPr="00001562">
        <w:t xml:space="preserve"> A</w:t>
      </w:r>
      <w:r w:rsidR="00851173" w:rsidRPr="00001562">
        <w:t xml:space="preserve"> significant </w:t>
      </w:r>
      <w:r w:rsidR="00BB3E33" w:rsidRPr="00001562">
        <w:t>theme in my research is to study scenarios where traditional policy levers may be constrained (as in the lower bound on nominal interest rates in the United Stated)</w:t>
      </w:r>
      <w:r w:rsidR="00AA5BF4" w:rsidRPr="00001562">
        <w:t xml:space="preserve"> or identify </w:t>
      </w:r>
      <w:r w:rsidR="00E35FAC" w:rsidRPr="00001562">
        <w:t>new</w:t>
      </w:r>
      <w:r w:rsidR="00AA5BF4" w:rsidRPr="00001562">
        <w:t xml:space="preserve"> implications of the use of such levers, and </w:t>
      </w:r>
      <w:r w:rsidR="00C428F6" w:rsidRPr="00001562">
        <w:t xml:space="preserve">ultimately </w:t>
      </w:r>
      <w:r w:rsidR="00AA5BF4" w:rsidRPr="00001562">
        <w:t xml:space="preserve">how policy may be designed to improve business-cycle </w:t>
      </w:r>
      <w:r w:rsidR="003A3036" w:rsidRPr="00001562">
        <w:t>stabilization</w:t>
      </w:r>
      <w:r w:rsidR="00AA5BF4" w:rsidRPr="00001562">
        <w:t xml:space="preserve">. </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72142BB3" w14:textId="6D6088ED" w:rsidR="00370B5F" w:rsidRPr="00001562" w:rsidRDefault="00370B5F" w:rsidP="008B52BB">
      <w:pPr>
        <w:pStyle w:val="NormalWeb"/>
        <w:spacing w:line="360" w:lineRule="auto"/>
        <w:jc w:val="both"/>
      </w:pPr>
      <w:r w:rsidRPr="00001562">
        <w:t xml:space="preserve">The paper, </w:t>
      </w:r>
      <w:r w:rsidRPr="00001562">
        <w:rPr>
          <w:i/>
        </w:rPr>
        <w:t>Output Hysteresis and Optimal Monetary Policy</w:t>
      </w:r>
      <w:r w:rsidRPr="00001562">
        <w:t xml:space="preserve">, is joint with Vaishali </w:t>
      </w:r>
      <w:proofErr w:type="spellStart"/>
      <w:r w:rsidRPr="00001562">
        <w:t>Garga</w:t>
      </w:r>
      <w:proofErr w:type="spellEnd"/>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policy at the ZLB involves offsetting these hysteresis effects by credibly promising lower interest </w:t>
      </w:r>
      <w:r w:rsidRPr="00001562">
        <w:lastRenderedPageBreak/>
        <w:t xml:space="preserve">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268055C6"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proofErr w:type="spellStart"/>
      <w:r w:rsidR="008B52BB" w:rsidRPr="00001562">
        <w:rPr>
          <w:rFonts w:ascii="Times New Roman" w:hAnsi="Times New Roman" w:cs="Times New Roman"/>
          <w:color w:val="000000" w:themeColor="text1"/>
          <w:shd w:val="clear" w:color="auto" w:fill="FFFFFF"/>
        </w:rPr>
        <w:t>Òscar</w:t>
      </w:r>
      <w:proofErr w:type="spellEnd"/>
      <w:r w:rsidR="008B52BB" w:rsidRPr="00001562">
        <w:rPr>
          <w:rFonts w:ascii="Times New Roman" w:hAnsi="Times New Roman" w:cs="Times New Roman"/>
          <w:color w:val="000000" w:themeColor="text1"/>
          <w:shd w:val="clear" w:color="auto" w:fill="FFFFFF"/>
        </w:rPr>
        <w:t xml:space="preserve"> </w:t>
      </w:r>
      <w:proofErr w:type="spellStart"/>
      <w:r w:rsidR="008B52BB" w:rsidRPr="00001562">
        <w:rPr>
          <w:rFonts w:ascii="Times New Roman" w:hAnsi="Times New Roman" w:cs="Times New Roman"/>
          <w:color w:val="000000" w:themeColor="text1"/>
          <w:shd w:val="clear" w:color="auto" w:fill="FFFFFF"/>
        </w:rPr>
        <w:t>Jordà</w:t>
      </w:r>
      <w:proofErr w:type="spellEnd"/>
      <w:r w:rsidR="008B52BB" w:rsidRPr="00001562">
        <w:rPr>
          <w:rFonts w:ascii="Times New Roman" w:hAnsi="Times New Roman" w:cs="Times New Roman"/>
          <w:color w:val="000000" w:themeColor="text1"/>
          <w:shd w:val="clear" w:color="auto" w:fill="FFFFFF"/>
        </w:rPr>
        <w:t xml:space="preserve">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economy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proofErr w:type="spellStart"/>
      <w:r w:rsidR="000119D2" w:rsidRPr="00001562">
        <w:rPr>
          <w:rFonts w:ascii="Times New Roman" w:hAnsi="Times New Roman" w:cs="Times New Roman"/>
          <w:color w:val="000000" w:themeColor="text1"/>
          <w:shd w:val="clear" w:color="auto" w:fill="FFFFFF"/>
        </w:rPr>
        <w:t>Jordà</w:t>
      </w:r>
      <w:proofErr w:type="spellEnd"/>
      <w:r w:rsidR="001B2C2B" w:rsidRPr="00001562">
        <w:rPr>
          <w:rFonts w:ascii="Times New Roman" w:hAnsi="Times New Roman" w:cs="Times New Roman"/>
        </w:rPr>
        <w:t xml:space="preserve">, </w:t>
      </w:r>
      <w:proofErr w:type="spellStart"/>
      <w:r w:rsidR="000119D2" w:rsidRPr="00001562">
        <w:rPr>
          <w:rFonts w:ascii="Times New Roman" w:hAnsi="Times New Roman" w:cs="Times New Roman"/>
        </w:rPr>
        <w:t>Schularick</w:t>
      </w:r>
      <w:proofErr w:type="spellEnd"/>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1"/>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policy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24BD3966"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proofErr w:type="gramStart"/>
      <w:r w:rsidR="001B55B2" w:rsidRPr="00001562">
        <w:rPr>
          <w:rFonts w:ascii="Times New Roman" w:hAnsi="Times New Roman" w:cs="Times New Roman"/>
          <w:i/>
          <w:iCs/>
        </w:rPr>
        <w:t>Policymakers’ Confusion in the Presence of Hysteresis,</w:t>
      </w:r>
      <w:proofErr w:type="gramEnd"/>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proofErr w:type="spellStart"/>
      <w:r w:rsidR="00BB3E33" w:rsidRPr="00001562">
        <w:rPr>
          <w:rFonts w:ascii="Times New Roman" w:hAnsi="Times New Roman" w:cs="Times New Roman"/>
        </w:rPr>
        <w:t>Fatás</w:t>
      </w:r>
      <w:proofErr w:type="spellEnd"/>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AE2B40" w:rsidRPr="00001562">
        <w:rPr>
          <w:rFonts w:ascii="Times New Roman" w:hAnsi="Times New Roman" w:cs="Times New Roman"/>
        </w:rPr>
        <w:t xml:space="preserve">GDP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 xml:space="preserve">shocks to total factor. In the correct model, the 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w:t>
      </w:r>
      <w:r w:rsidR="00AE2B40" w:rsidRPr="00001562">
        <w:rPr>
          <w:rFonts w:ascii="Times New Roman" w:hAnsi="Times New Roman" w:cs="Times New Roman"/>
        </w:rPr>
        <w:lastRenderedPageBreak/>
        <w:t xml:space="preserve">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6A2BEC55"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proofErr w:type="spellStart"/>
      <w:r w:rsidRPr="00001562">
        <w:rPr>
          <w:color w:val="000000" w:themeColor="text1"/>
          <w:shd w:val="clear" w:color="auto" w:fill="FFFFFF"/>
        </w:rPr>
        <w:t>Òscar</w:t>
      </w:r>
      <w:proofErr w:type="spellEnd"/>
      <w:r w:rsidRPr="00001562">
        <w:rPr>
          <w:color w:val="000000" w:themeColor="text1"/>
          <w:shd w:val="clear" w:color="auto" w:fill="FFFFFF"/>
        </w:rPr>
        <w:t xml:space="preserve"> </w:t>
      </w:r>
      <w:proofErr w:type="spellStart"/>
      <w:r w:rsidRPr="00001562">
        <w:rPr>
          <w:color w:val="000000" w:themeColor="text1"/>
          <w:shd w:val="clear" w:color="auto" w:fill="FFFFFF"/>
        </w:rPr>
        <w:t>Jordà</w:t>
      </w:r>
      <w:proofErr w:type="spellEnd"/>
      <w:r w:rsidRPr="00001562">
        <w:rPr>
          <w:color w:val="000000" w:themeColor="text1"/>
          <w:shd w:val="clear" w:color="auto" w:fill="FFFFFF"/>
        </w:rPr>
        <w:t xml:space="preserve">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is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45A9691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xml:space="preserve">, I am working on a paper titled “The Distribution of Market Power and Monetary Policy” with </w:t>
      </w:r>
      <w:proofErr w:type="spellStart"/>
      <w:r w:rsidRPr="00001562">
        <w:t>Yumeng</w:t>
      </w:r>
      <w:proofErr w:type="spellEnd"/>
      <w:r w:rsidRPr="00001562">
        <w:t xml:space="preserve"> Gu, who just completed her PhD at UC Davis. This paper extends the Keynesian growth framework of </w:t>
      </w:r>
      <w:proofErr w:type="spellStart"/>
      <w:r w:rsidRPr="00001562">
        <w:t>Benigno</w:t>
      </w:r>
      <w:proofErr w:type="spellEnd"/>
      <w:r w:rsidRPr="00001562">
        <w:t xml:space="preserve"> and </w:t>
      </w:r>
      <w:proofErr w:type="spellStart"/>
      <w:r w:rsidRPr="00001562">
        <w:t>Fornaro</w:t>
      </w:r>
      <w:proofErr w:type="spellEnd"/>
      <w:r w:rsidRPr="00001562">
        <w:t xml:space="preserve"> (2018)</w:t>
      </w:r>
      <w:r w:rsidR="00B11C47" w:rsidRPr="00001562">
        <w:rPr>
          <w:rStyle w:val="FootnoteReference"/>
        </w:rPr>
        <w:footnoteReference w:id="2"/>
      </w:r>
      <w:r w:rsidRPr="00001562">
        <w:t xml:space="preserve"> to allow incumbents to innovate and gain market power following Peters (2020).</w:t>
      </w:r>
      <w:r w:rsidR="00B11C47" w:rsidRPr="00001562">
        <w:rPr>
          <w:rStyle w:val="FootnoteReference"/>
        </w:rPr>
        <w:footnoteReference w:id="3"/>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Thus, a monetary policy induced recession reduces the incentives for potential entrants to innovate, reduces allocative efficiency across firms, and leads to an </w:t>
      </w:r>
      <w:r w:rsidRPr="00001562">
        <w:lastRenderedPageBreak/>
        <w:t>endogenous slowdown in TFP growth.</w:t>
      </w:r>
      <w:r w:rsidR="00693E57" w:rsidRPr="00001562">
        <w:t xml:space="preserve"> </w:t>
      </w:r>
      <w:proofErr w:type="spellStart"/>
      <w:r w:rsidR="00693E57" w:rsidRPr="00001562">
        <w:t>Yumeng</w:t>
      </w:r>
      <w:proofErr w:type="spellEnd"/>
      <w:r w:rsidR="00693E57" w:rsidRPr="00001562">
        <w:t xml:space="preserve">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0E13AD42"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w:t>
      </w:r>
      <w:r w:rsidR="002F2CA4">
        <w:rPr>
          <w:b/>
          <w:bCs/>
          <w:i/>
          <w:iCs/>
        </w:rPr>
        <w:t>M</w:t>
      </w:r>
      <w:r w:rsidR="005F6A74" w:rsidRPr="00001562">
        <w:rPr>
          <w:b/>
          <w:bCs/>
          <w:i/>
          <w:iCs/>
        </w:rPr>
        <w:t>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proofErr w:type="spellStart"/>
      <w:r w:rsidR="002C7474" w:rsidRPr="00001562">
        <w:t>L’Huillier</w:t>
      </w:r>
      <w:proofErr w:type="spellEnd"/>
      <w:r w:rsidR="002C7474" w:rsidRPr="00001562">
        <w:t xml:space="preserve"> of Brandeis University and the Cleveland Fed, and </w:t>
      </w:r>
      <w:proofErr w:type="spellStart"/>
      <w:r w:rsidR="002C7474" w:rsidRPr="00001562">
        <w:t>Donghoon</w:t>
      </w:r>
      <w:proofErr w:type="spellEnd"/>
      <w:r w:rsidR="002C7474" w:rsidRPr="00001562">
        <w:t xml:space="preserve"> </w:t>
      </w:r>
      <w:proofErr w:type="spellStart"/>
      <w:r w:rsidR="002C7474" w:rsidRPr="00001562">
        <w:t>Yoo</w:t>
      </w:r>
      <w:proofErr w:type="spellEnd"/>
      <w:r w:rsidR="002C7474" w:rsidRPr="00001562">
        <w:t xml:space="preserve"> of Academi</w:t>
      </w:r>
      <w:r w:rsidR="007452D9" w:rsidRPr="00001562">
        <w:t>a</w:t>
      </w:r>
      <w:r w:rsidR="002C7474" w:rsidRPr="00001562">
        <w:t xml:space="preserve"> </w:t>
      </w:r>
      <w:proofErr w:type="spellStart"/>
      <w:r w:rsidR="002C7474" w:rsidRPr="00001562">
        <w:t>Sinica</w:t>
      </w:r>
      <w:proofErr w:type="spellEnd"/>
      <w:r w:rsidR="002C7474" w:rsidRPr="00001562">
        <w:t xml:space="preserve">.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w:t>
      </w:r>
      <w:proofErr w:type="spellStart"/>
      <w:r w:rsidR="00795DED" w:rsidRPr="00001562">
        <w:t>Bordalo</w:t>
      </w:r>
      <w:proofErr w:type="spellEnd"/>
      <w:r w:rsidR="00795DED" w:rsidRPr="00001562">
        <w:t xml:space="preserve">, Nicola </w:t>
      </w:r>
      <w:proofErr w:type="spellStart"/>
      <w:r w:rsidR="00795DED" w:rsidRPr="00001562">
        <w:t>Gennaioli</w:t>
      </w:r>
      <w:proofErr w:type="spellEnd"/>
      <w:r w:rsidR="00795DED" w:rsidRPr="00001562">
        <w:t xml:space="preserve">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372E9E24" w14:textId="76CBEB2B" w:rsidR="00010C82"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7C7174A0"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FF76A3">
        <w:rPr>
          <w:rFonts w:ascii="Times New Roman" w:hAnsi="Times New Roman" w:cs="Times New Roman"/>
          <w:b/>
          <w:i/>
        </w:rPr>
        <w:t xml:space="preserve"> and</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xml:space="preserve">, is joint with Nicolas </w:t>
      </w:r>
      <w:proofErr w:type="spellStart"/>
      <w:r w:rsidRPr="00001562">
        <w:t>Caramp</w:t>
      </w:r>
      <w:proofErr w:type="spellEnd"/>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constrained by the </w:t>
      </w:r>
      <w:r w:rsidR="008518D3" w:rsidRPr="00001562">
        <w:t>zero-lower</w:t>
      </w:r>
      <w:r w:rsidR="008A1CE2" w:rsidRPr="00001562">
        <w:t xml:space="preserve"> bound on the short-term nominal interest rate, an important body of </w:t>
      </w:r>
      <w:r w:rsidR="008A1CE2" w:rsidRPr="00001562">
        <w:lastRenderedPageBreak/>
        <w:t xml:space="preserve">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 xml:space="preserve">We label this liquidity trap equilibrium a self-fulfilling liquidity trap (SFLT), following the seminal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4"/>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is joint with Pablo Cuba-</w:t>
      </w:r>
      <w:proofErr w:type="spellStart"/>
      <w:r w:rsidRPr="00001562">
        <w:t>Borda</w:t>
      </w:r>
      <w:proofErr w:type="spellEnd"/>
      <w:r w:rsidRPr="00001562">
        <w:t xml:space="preserve">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w:t>
      </w:r>
      <w:r w:rsidRPr="00001562">
        <w:lastRenderedPageBreak/>
        <w:t xml:space="preserve">twenty years. Under the secular stagnation hypothesis, the natural interest rate consistent with inflation stability is persistently negative because of fundamental factors. Under the expectations hypothesis, following the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5"/>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28B8219" w:rsidR="00BD66AE" w:rsidRPr="00001562" w:rsidRDefault="00BD66AE" w:rsidP="00BD66AE">
      <w:pPr>
        <w:pStyle w:val="NormalWeb"/>
        <w:spacing w:line="360" w:lineRule="auto"/>
        <w:jc w:val="both"/>
      </w:pPr>
      <w:r w:rsidRPr="00001562">
        <w:t xml:space="preserve">We find that </w:t>
      </w:r>
      <w:r w:rsidR="006636E0">
        <w:t xml:space="preserve">the </w:t>
      </w:r>
      <w:r w:rsidRPr="00001562">
        <w:t xml:space="preserve">output growth </w:t>
      </w:r>
      <w:r w:rsidR="006636E0">
        <w:t xml:space="preserve">rate </w:t>
      </w:r>
      <w:r w:rsidRPr="00001562">
        <w:t xml:space="preserve">and </w:t>
      </w:r>
      <w:r w:rsidR="006636E0">
        <w:t xml:space="preserve">the </w:t>
      </w:r>
      <w:r w:rsidRPr="00001562">
        <w:t>inflation</w:t>
      </w:r>
      <w:r w:rsidR="006636E0">
        <w:t xml:space="preserve"> rate</w:t>
      </w:r>
      <w:r w:rsidRPr="00001562">
        <w:t xml:space="preserve"> in Japan have been negatively correlated consistently since 1998. </w:t>
      </w:r>
      <w:r w:rsidR="006636E0">
        <w:t>Models of</w:t>
      </w:r>
      <w:r w:rsidRPr="00001562">
        <w:t xml:space="preserve"> secular stagnation with persistently </w:t>
      </w:r>
      <w:r w:rsidR="006636E0">
        <w:t>negative neutral</w:t>
      </w:r>
      <w:r w:rsidRPr="00001562">
        <w:t xml:space="preserve"> interest rates </w:t>
      </w:r>
      <w:r w:rsidR="006636E0">
        <w:t>are</w:t>
      </w:r>
      <w:r w:rsidRPr="00001562">
        <w:t xml:space="preserve"> unable to generate this negative correlation. Expectations-trap hypothesis, </w:t>
      </w:r>
      <w:r w:rsidR="006636E0">
        <w:t>which features</w:t>
      </w:r>
      <w:r w:rsidRPr="00001562">
        <w:t xml:space="preserve"> local indeterminacy, </w:t>
      </w:r>
      <w:r w:rsidR="006636E0">
        <w:t>can match the negative correlation if one allows the data to select the equilibria</w:t>
      </w:r>
      <w:r w:rsidRPr="00001562">
        <w:t>. Using dynamic prediction pools, we show that being able to target th</w:t>
      </w:r>
      <w:r w:rsidR="006636E0">
        <w:t xml:space="preserve">e negative output growth- inflation </w:t>
      </w:r>
      <w:r w:rsidRPr="00001562">
        <w:t xml:space="preserve">correlation is crucial </w:t>
      </w:r>
      <w:r w:rsidR="006636E0">
        <w:t>to explain the Japanese experience at the ZLB</w:t>
      </w:r>
      <w:r w:rsidRPr="00001562">
        <w:t xml:space="preserve">. </w:t>
      </w:r>
      <w:r w:rsidR="006636E0">
        <w:t xml:space="preserve">Augmenting secular stagnation with </w:t>
      </w:r>
      <w:r w:rsidRPr="00001562">
        <w:t>mainstream departures from representative agent rational expectations paradigm such as myopia, diagnostic expectations, heterogenous agents fail to generate this negative correlation</w:t>
      </w:r>
      <w:r w:rsidR="006636E0">
        <w:t xml:space="preserve"> during permanent</w:t>
      </w:r>
      <w:r w:rsidRPr="00001562">
        <w:t>.</w:t>
      </w:r>
    </w:p>
    <w:p w14:paraId="4B60396E" w14:textId="0EB259DC" w:rsidR="00F8764D" w:rsidRPr="00001562" w:rsidRDefault="003B2E7E" w:rsidP="00B90380">
      <w:pPr>
        <w:pStyle w:val="NormalWeb"/>
        <w:spacing w:line="360" w:lineRule="auto"/>
        <w:jc w:val="both"/>
      </w:pPr>
      <w:r w:rsidRPr="00001562">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lastRenderedPageBreak/>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w:t>
      </w:r>
      <w:proofErr w:type="spellStart"/>
      <w:r w:rsidRPr="00001562">
        <w:t>Colell</w:t>
      </w:r>
      <w:proofErr w:type="spellEnd"/>
      <w:r w:rsidRPr="00001562">
        <w:t xml:space="preserve"> in 1992</w:t>
      </w:r>
      <w:r w:rsidR="008A2A73" w:rsidRPr="00001562">
        <w:t>:</w:t>
      </w:r>
      <w:r w:rsidRPr="00001562">
        <w:rPr>
          <w:rStyle w:val="FootnoteReference"/>
        </w:rPr>
        <w:footnoteReference w:id="6"/>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9EC2074" w14:textId="44FFA71C" w:rsidR="003714CB" w:rsidRDefault="00370B5F" w:rsidP="00133BC5">
      <w:pPr>
        <w:pStyle w:val="NormalWeb"/>
        <w:spacing w:line="360" w:lineRule="auto"/>
        <w:jc w:val="both"/>
      </w:pPr>
      <w:r w:rsidRPr="00001562">
        <w:t xml:space="preserve">The paper, </w:t>
      </w:r>
      <w:r w:rsidRPr="00001562">
        <w:rPr>
          <w:i/>
        </w:rPr>
        <w:t>Log-Linear Approximation versus an Exact Solution at the ZLB in the New Keynesian model</w:t>
      </w:r>
      <w:r w:rsidRPr="00001562">
        <w:t xml:space="preserve">, is joint with </w:t>
      </w:r>
      <w:proofErr w:type="spellStart"/>
      <w:r w:rsidRPr="00001562">
        <w:t>Gauti</w:t>
      </w:r>
      <w:proofErr w:type="spellEnd"/>
      <w:r w:rsidRPr="00001562">
        <w:t xml:space="preserve"> </w:t>
      </w:r>
      <w:r w:rsidR="00E43AC2" w:rsidRPr="00001562">
        <w:t xml:space="preserve">B </w:t>
      </w:r>
      <w:proofErr w:type="spellStart"/>
      <w:r w:rsidRPr="00001562">
        <w:t>Eggertsson</w:t>
      </w:r>
      <w:proofErr w:type="spellEnd"/>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7"/>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The non-linear model also generates expansionary effects of contractionary supply shocks as well as fiscal multipliers larger than one at the zero lower bound.</w:t>
      </w:r>
    </w:p>
    <w:p w14:paraId="3BDB130B" w14:textId="77777777" w:rsidR="00DD2C30" w:rsidRDefault="00DD2C30" w:rsidP="00133BC5">
      <w:pPr>
        <w:pStyle w:val="NormalWeb"/>
        <w:spacing w:line="360" w:lineRule="auto"/>
        <w:jc w:val="both"/>
      </w:pPr>
    </w:p>
    <w:p w14:paraId="28CC7BEB" w14:textId="0859611E" w:rsidR="00DF458F" w:rsidRPr="00001562" w:rsidRDefault="0088274B" w:rsidP="00133BC5">
      <w:pPr>
        <w:pStyle w:val="NormalWeb"/>
        <w:spacing w:line="360" w:lineRule="auto"/>
        <w:jc w:val="both"/>
      </w:pPr>
      <w:r w:rsidRPr="00001562">
        <w:lastRenderedPageBreak/>
        <w:t xml:space="preserve">The paper, </w:t>
      </w:r>
      <w:r w:rsidRPr="00001562">
        <w:rPr>
          <w:i/>
        </w:rPr>
        <w:t xml:space="preserve">A Contagious Malady? </w:t>
      </w:r>
      <w:proofErr w:type="gramStart"/>
      <w:r w:rsidRPr="00001562">
        <w:rPr>
          <w:i/>
        </w:rPr>
        <w:t>Open Economy Dimensions of Secular Stagnation</w:t>
      </w:r>
      <w:r w:rsidRPr="00001562">
        <w:t>,</w:t>
      </w:r>
      <w:proofErr w:type="gramEnd"/>
      <w:r w:rsidRPr="00001562">
        <w:t xml:space="preserve"> is joint with </w:t>
      </w:r>
      <w:proofErr w:type="spellStart"/>
      <w:r w:rsidRPr="00001562">
        <w:t>Gauti</w:t>
      </w:r>
      <w:proofErr w:type="spellEnd"/>
      <w:r w:rsidRPr="00001562">
        <w:t xml:space="preserve"> B </w:t>
      </w:r>
      <w:proofErr w:type="spellStart"/>
      <w:r w:rsidRPr="00001562">
        <w:t>Eggertsson</w:t>
      </w:r>
      <w:proofErr w:type="spellEnd"/>
      <w:r w:rsidRPr="00001562">
        <w:t xml:space="preserve"> of Brown University, Neil R Mehrotra of Minneapolis Fed and Larry Summers of Harvard University. It has been published in the </w:t>
      </w:r>
      <w:r w:rsidRPr="00001562">
        <w:rPr>
          <w:i/>
        </w:rPr>
        <w:t>IMF Economic Review</w:t>
      </w:r>
      <w:r w:rsidRPr="00001562">
        <w:t xml:space="preserve">. In this paper, we study the importance of international capital movements in spreading secular stagnation, and the resulting policy spillovers across countries. We show that 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savings at home and may worsen the recession at home. Fiscal policy, by absorbing excess savings, can raise the world real interest rates. Because of positive externalities, fiscal stimulus may be undersupplied. This paper makes a case for fiscal and monetary policy coordination across countries to escape stagnation. </w:t>
      </w:r>
    </w:p>
    <w:p w14:paraId="6B3F40B0" w14:textId="450912B7" w:rsidR="003714CB" w:rsidRPr="00001562" w:rsidRDefault="00F80C25" w:rsidP="003714CB">
      <w:pPr>
        <w:pStyle w:val="NormalWeb"/>
        <w:spacing w:line="360" w:lineRule="auto"/>
        <w:jc w:val="both"/>
        <w:rPr>
          <w:b/>
          <w:bCs/>
        </w:rPr>
      </w:pPr>
      <w:r>
        <w:rPr>
          <w:b/>
          <w:bCs/>
          <w:i/>
          <w:iCs/>
        </w:rPr>
        <w:t>Related</w:t>
      </w:r>
      <w:r w:rsidR="00FF76A3">
        <w:rPr>
          <w:b/>
          <w:bCs/>
          <w:i/>
          <w:iCs/>
        </w:rPr>
        <w:t xml:space="preserve"> </w:t>
      </w:r>
      <w:r w:rsidR="005D5031">
        <w:rPr>
          <w:b/>
          <w:bCs/>
          <w:i/>
          <w:iCs/>
        </w:rPr>
        <w:t>Topics</w:t>
      </w:r>
      <w:r w:rsidR="00FF76A3">
        <w:rPr>
          <w:b/>
          <w:bCs/>
          <w:i/>
          <w:iCs/>
        </w:rPr>
        <w:t xml:space="preserve"> in the </w:t>
      </w:r>
      <w:r w:rsidR="00DF4D23">
        <w:rPr>
          <w:b/>
          <w:bCs/>
          <w:i/>
          <w:iCs/>
        </w:rPr>
        <w:t>O</w:t>
      </w:r>
      <w:r w:rsidR="003714CB" w:rsidRPr="00001562">
        <w:rPr>
          <w:b/>
          <w:bCs/>
          <w:i/>
          <w:iCs/>
        </w:rPr>
        <w:t xml:space="preserve">pen </w:t>
      </w:r>
      <w:r w:rsidR="00DF4D23">
        <w:rPr>
          <w:b/>
          <w:bCs/>
          <w:i/>
          <w:iCs/>
        </w:rPr>
        <w:t>E</w:t>
      </w:r>
      <w:r w:rsidR="003714CB" w:rsidRPr="00001562">
        <w:rPr>
          <w:b/>
          <w:bCs/>
          <w:i/>
          <w:iCs/>
        </w:rPr>
        <w:t>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w:t>
      </w:r>
      <w:proofErr w:type="spellStart"/>
      <w:r w:rsidR="003714CB" w:rsidRPr="00001562">
        <w:t>Shambaugh</w:t>
      </w:r>
      <w:proofErr w:type="spellEnd"/>
      <w:r w:rsidR="003714CB" w:rsidRPr="00001562">
        <w:t xml:space="preserve"> of George Washington University. It has been invited for a Revise and Resubmit at the </w:t>
      </w:r>
      <w:r w:rsidR="003714CB" w:rsidRPr="00001562">
        <w:rPr>
          <w:i/>
          <w:iCs/>
        </w:rPr>
        <w:t>IMF Economic Review</w:t>
      </w:r>
      <w:r w:rsidR="003714CB" w:rsidRPr="00001562">
        <w:t xml:space="preserve">, for potential publication in a conference volume for the IMF’s Annual Jacques </w:t>
      </w:r>
      <w:proofErr w:type="spellStart"/>
      <w:r w:rsidR="003714CB" w:rsidRPr="00001562">
        <w:t>Polak</w:t>
      </w:r>
      <w:proofErr w:type="spellEnd"/>
      <w:r w:rsidR="003714CB" w:rsidRPr="00001562">
        <w:t xml:space="preserve">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8"/>
      </w:r>
      <w:r w:rsidR="003714CB" w:rsidRPr="00001562">
        <w:t xml:space="preserve">   We offer two main analyses. First, we update the Blanchard and Katz (1992)</w:t>
      </w:r>
      <w:r w:rsidR="00353E2F" w:rsidRPr="00001562">
        <w:rPr>
          <w:rStyle w:val="FootnoteReference"/>
        </w:rPr>
        <w:footnoteReference w:id="9"/>
      </w:r>
      <w:r w:rsidR="003714CB" w:rsidRPr="00001562">
        <w:t xml:space="preserve"> </w:t>
      </w:r>
      <w:r w:rsidR="000C5AFB" w:rsidRPr="00001562">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699DB848" w14:textId="1E959C3A" w:rsidR="006019DD" w:rsidRPr="00001562" w:rsidRDefault="001269AB" w:rsidP="006019DD">
      <w:pPr>
        <w:pStyle w:val="NormalWeb"/>
        <w:spacing w:line="360" w:lineRule="auto"/>
        <w:jc w:val="both"/>
      </w:pPr>
      <w:r w:rsidRPr="00001562">
        <w:lastRenderedPageBreak/>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 xml:space="preserve">joint with </w:t>
      </w:r>
      <w:proofErr w:type="spellStart"/>
      <w:r w:rsidRPr="00001562">
        <w:t>Aeimit</w:t>
      </w:r>
      <w:proofErr w:type="spellEnd"/>
      <w:r w:rsidRPr="00001562">
        <w:t xml:space="preserve">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2ADA08FA" w14:textId="44EE635E" w:rsidR="000E10C3"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w:t>
      </w:r>
      <w:proofErr w:type="spellStart"/>
      <w:r w:rsidRPr="00001562">
        <w:t>Xiangtao</w:t>
      </w:r>
      <w:proofErr w:type="spellEnd"/>
      <w:r w:rsidRPr="00001562">
        <w:t xml:space="preserve">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3DD234D6" w14:textId="77777777" w:rsidR="00A02DA8" w:rsidRDefault="00A02DA8" w:rsidP="00741F00">
      <w:pPr>
        <w:pStyle w:val="NormalWeb"/>
        <w:spacing w:line="360" w:lineRule="auto"/>
        <w:jc w:val="both"/>
        <w:rPr>
          <w:i/>
          <w:iCs/>
        </w:rPr>
      </w:pPr>
    </w:p>
    <w:p w14:paraId="291377D7" w14:textId="77777777" w:rsidR="00A02DA8" w:rsidRDefault="00A02DA8" w:rsidP="00741F00">
      <w:pPr>
        <w:pStyle w:val="NormalWeb"/>
        <w:spacing w:line="360" w:lineRule="auto"/>
        <w:jc w:val="both"/>
        <w:rPr>
          <w:i/>
          <w:iCs/>
        </w:rPr>
      </w:pPr>
    </w:p>
    <w:p w14:paraId="11E680D9" w14:textId="77777777" w:rsidR="00A02DA8" w:rsidRDefault="00A02DA8" w:rsidP="00741F00">
      <w:pPr>
        <w:pStyle w:val="NormalWeb"/>
        <w:spacing w:line="360" w:lineRule="auto"/>
        <w:jc w:val="both"/>
        <w:rPr>
          <w:i/>
          <w:iCs/>
        </w:rPr>
      </w:pPr>
    </w:p>
    <w:p w14:paraId="6F21D466" w14:textId="77777777" w:rsidR="00A02DA8" w:rsidRDefault="00A02DA8" w:rsidP="00741F00">
      <w:pPr>
        <w:pStyle w:val="NormalWeb"/>
        <w:spacing w:line="360" w:lineRule="auto"/>
        <w:jc w:val="both"/>
        <w:rPr>
          <w:i/>
          <w:iCs/>
        </w:rPr>
      </w:pPr>
    </w:p>
    <w:p w14:paraId="0B33122A" w14:textId="77777777" w:rsidR="00A02DA8" w:rsidRDefault="00A02DA8" w:rsidP="00741F00">
      <w:pPr>
        <w:pStyle w:val="NormalWeb"/>
        <w:spacing w:line="360" w:lineRule="auto"/>
        <w:jc w:val="both"/>
        <w:rPr>
          <w:i/>
          <w:iCs/>
        </w:rPr>
      </w:pPr>
    </w:p>
    <w:p w14:paraId="2DE1C018" w14:textId="77777777" w:rsidR="00A02DA8" w:rsidRDefault="00A02DA8" w:rsidP="00741F00">
      <w:pPr>
        <w:pStyle w:val="NormalWeb"/>
        <w:spacing w:line="360" w:lineRule="auto"/>
        <w:jc w:val="both"/>
        <w:rPr>
          <w:i/>
          <w:iCs/>
        </w:rPr>
      </w:pPr>
    </w:p>
    <w:p w14:paraId="130AF65D" w14:textId="77777777" w:rsidR="00A02DA8" w:rsidRDefault="00A02DA8" w:rsidP="00741F00">
      <w:pPr>
        <w:pStyle w:val="NormalWeb"/>
        <w:spacing w:line="360" w:lineRule="auto"/>
        <w:jc w:val="both"/>
        <w:rPr>
          <w:i/>
          <w:iCs/>
        </w:rPr>
      </w:pPr>
    </w:p>
    <w:p w14:paraId="6676D438" w14:textId="77777777" w:rsidR="0088274B" w:rsidRDefault="0088274B" w:rsidP="00741F00">
      <w:pPr>
        <w:pStyle w:val="NormalWeb"/>
        <w:spacing w:line="360" w:lineRule="auto"/>
        <w:jc w:val="both"/>
        <w:rPr>
          <w:i/>
          <w:iCs/>
        </w:rPr>
      </w:pPr>
    </w:p>
    <w:p w14:paraId="27002C7F" w14:textId="77777777" w:rsidR="00715E5B" w:rsidRPr="00741F00" w:rsidRDefault="00715E5B" w:rsidP="00741F00">
      <w:pPr>
        <w:pStyle w:val="NormalWeb"/>
        <w:spacing w:line="360" w:lineRule="auto"/>
        <w:jc w:val="both"/>
        <w:rPr>
          <w:i/>
          <w:iCs/>
        </w:rPr>
      </w:pPr>
    </w:p>
    <w:p w14:paraId="72628313" w14:textId="19E6430D" w:rsidR="005807C4" w:rsidRPr="00001562" w:rsidRDefault="00AC0AC5" w:rsidP="00133BC5">
      <w:pPr>
        <w:spacing w:line="360" w:lineRule="auto"/>
        <w:rPr>
          <w:rFonts w:ascii="Times New Roman" w:hAnsi="Times New Roman" w:cs="Times New Roman"/>
        </w:rPr>
      </w:pPr>
      <w:r w:rsidRPr="00001562">
        <w:rPr>
          <w:rFonts w:ascii="Times New Roman" w:hAnsi="Times New Roman" w:cs="Times New Roman"/>
          <w:b/>
          <w:bCs/>
        </w:rPr>
        <w:lastRenderedPageBreak/>
        <w:t xml:space="preserve">Bibliography of </w:t>
      </w:r>
      <w:r w:rsidR="00DC132D" w:rsidRPr="00001562">
        <w:rPr>
          <w:rFonts w:ascii="Times New Roman" w:hAnsi="Times New Roman" w:cs="Times New Roman"/>
          <w:b/>
          <w:bCs/>
        </w:rPr>
        <w:t>my research</w:t>
      </w:r>
      <w:r w:rsidRPr="00001562">
        <w:rPr>
          <w:rFonts w:ascii="Times New Roman" w:hAnsi="Times New Roman" w:cs="Times New Roman"/>
          <w:b/>
          <w:bCs/>
        </w:rPr>
        <w:t xml:space="preserve"> </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w:t>
      </w:r>
      <w:proofErr w:type="spellStart"/>
      <w:r w:rsidRPr="00001562">
        <w:rPr>
          <w:rFonts w:ascii="Times New Roman" w:hAnsi="Times New Roman" w:cs="Times New Roman"/>
        </w:rPr>
        <w:t>Garga</w:t>
      </w:r>
      <w:proofErr w:type="spellEnd"/>
      <w:r w:rsidRPr="00001562">
        <w:rPr>
          <w:rFonts w:ascii="Times New Roman" w:hAnsi="Times New Roman" w:cs="Times New Roman"/>
        </w:rPr>
        <w:t xml:space="preserve">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proofErr w:type="spellStart"/>
      <w:r w:rsidR="00F0739D" w:rsidRPr="00001562">
        <w:rPr>
          <w:rFonts w:ascii="Times New Roman" w:hAnsi="Times New Roman" w:cs="Times New Roman"/>
        </w:rPr>
        <w:t>Jorda</w:t>
      </w:r>
      <w:proofErr w:type="spellEnd"/>
      <w:r w:rsidR="00F0739D" w:rsidRPr="00001562">
        <w:rPr>
          <w:rFonts w:ascii="Times New Roman" w:hAnsi="Times New Roman" w:cs="Times New Roman"/>
        </w:rPr>
        <w:t>̀,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A. </w:t>
      </w:r>
      <w:proofErr w:type="spellStart"/>
      <w:r w:rsidRPr="00001562">
        <w:rPr>
          <w:rFonts w:ascii="Times New Roman" w:hAnsi="Times New Roman" w:cs="Times New Roman"/>
        </w:rPr>
        <w:t>Fatás</w:t>
      </w:r>
      <w:proofErr w:type="spellEnd"/>
      <w:r w:rsidRPr="00001562">
        <w:rPr>
          <w:rFonts w:ascii="Times New Roman" w:hAnsi="Times New Roman" w:cs="Times New Roman"/>
        </w:rPr>
        <w:t xml:space="preserve">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Pr="00001562"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xml:space="preserve">. </w:t>
      </w:r>
      <w:proofErr w:type="spellStart"/>
      <w:r w:rsidR="00BD4B13" w:rsidRPr="00001562">
        <w:rPr>
          <w:rFonts w:ascii="Times New Roman" w:hAnsi="Times New Roman" w:cs="Times New Roman"/>
        </w:rPr>
        <w:t>Jorda</w:t>
      </w:r>
      <w:proofErr w:type="spellEnd"/>
      <w:r w:rsidR="00BD4B13" w:rsidRPr="00001562">
        <w:rPr>
          <w:rFonts w:ascii="Times New Roman" w:hAnsi="Times New Roman" w:cs="Times New Roman"/>
        </w:rPr>
        <w:t>̀,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 xml:space="preserve">J-P </w:t>
      </w:r>
      <w:proofErr w:type="spellStart"/>
      <w:r w:rsidRPr="00001562">
        <w:rPr>
          <w:rFonts w:ascii="Times New Roman" w:hAnsi="Times New Roman" w:cs="Times New Roman"/>
        </w:rPr>
        <w:t>L’Huillier</w:t>
      </w:r>
      <w:proofErr w:type="spellEnd"/>
      <w:r w:rsidRPr="00001562">
        <w:rPr>
          <w:rFonts w:ascii="Times New Roman" w:hAnsi="Times New Roman" w:cs="Times New Roman"/>
        </w:rPr>
        <w:t xml:space="preserve">, S.R. Singh, and D. </w:t>
      </w:r>
      <w:proofErr w:type="spellStart"/>
      <w:r w:rsidRPr="00001562">
        <w:rPr>
          <w:rFonts w:ascii="Times New Roman" w:hAnsi="Times New Roman" w:cs="Times New Roman"/>
        </w:rPr>
        <w:t>Yoo</w:t>
      </w:r>
      <w:proofErr w:type="spellEnd"/>
      <w:r w:rsidRPr="00001562">
        <w:rPr>
          <w:rFonts w:ascii="Times New Roman" w:hAnsi="Times New Roman" w:cs="Times New Roman"/>
        </w:rPr>
        <w:t>.</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 xml:space="preserve">N. </w:t>
      </w:r>
      <w:proofErr w:type="spellStart"/>
      <w:r w:rsidRPr="00001562">
        <w:rPr>
          <w:rFonts w:ascii="Times New Roman" w:hAnsi="Times New Roman" w:cs="Times New Roman"/>
        </w:rPr>
        <w:t>Caramp</w:t>
      </w:r>
      <w:proofErr w:type="spellEnd"/>
      <w:r w:rsidRPr="00001562">
        <w:rPr>
          <w:rFonts w:ascii="Times New Roman" w:hAnsi="Times New Roman" w:cs="Times New Roman"/>
        </w:rPr>
        <w:t xml:space="preserve">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w:t>
      </w:r>
      <w:proofErr w:type="spellStart"/>
      <w:r w:rsidRPr="00001562">
        <w:rPr>
          <w:rFonts w:ascii="Times New Roman" w:hAnsi="Times New Roman" w:cs="Times New Roman"/>
        </w:rPr>
        <w:t>Borda</w:t>
      </w:r>
      <w:proofErr w:type="spellEnd"/>
      <w:r w:rsidRPr="00001562">
        <w:rPr>
          <w:rFonts w:ascii="Times New Roman" w:hAnsi="Times New Roman" w:cs="Times New Roman"/>
        </w:rPr>
        <w:t xml:space="preserve">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w:t>
      </w:r>
      <w:proofErr w:type="spellStart"/>
      <w:r w:rsidRPr="00001562">
        <w:rPr>
          <w:rFonts w:ascii="Times New Roman" w:hAnsi="Times New Roman" w:cs="Times New Roman"/>
        </w:rPr>
        <w:t>Shambaugh</w:t>
      </w:r>
      <w:proofErr w:type="spellEnd"/>
      <w:r w:rsidRPr="00001562">
        <w:rPr>
          <w:rFonts w:ascii="Times New Roman" w:hAnsi="Times New Roman" w:cs="Times New Roman"/>
        </w:rPr>
        <w:t xml:space="preserve">,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4942270F" w14:textId="77777777" w:rsidR="00CE77EC" w:rsidRPr="00001562" w:rsidRDefault="00CE77EC" w:rsidP="00CE77EC">
      <w:pPr>
        <w:rPr>
          <w:rFonts w:ascii="Times New Roman" w:hAnsi="Times New Roman" w:cs="Times New Roman"/>
        </w:rPr>
      </w:pPr>
    </w:p>
    <w:p w14:paraId="4D7D2F6E" w14:textId="4946DA2F" w:rsidR="00CE77EC" w:rsidRPr="00001562" w:rsidRDefault="00DF021C" w:rsidP="00DF021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N. R. Mehrotra, S. R. Singh and L. H. Summers. </w:t>
      </w:r>
      <w:r w:rsidR="003C01E1">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1CE58ADB" w14:textId="77777777"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 xml:space="preserve">X. Meng, K. N. </w:t>
      </w:r>
      <w:proofErr w:type="gramStart"/>
      <w:r w:rsidRPr="00001562">
        <w:rPr>
          <w:rFonts w:ascii="Times New Roman" w:hAnsi="Times New Roman" w:cs="Times New Roman"/>
        </w:rPr>
        <w:t>Russ</w:t>
      </w:r>
      <w:proofErr w:type="gramEnd"/>
      <w:r w:rsidRPr="00001562">
        <w:rPr>
          <w:rFonts w:ascii="Times New Roman" w:hAnsi="Times New Roman" w:cs="Times New Roman"/>
        </w:rPr>
        <w:t xml:space="preserve">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21088B64" w14:textId="59D7D268" w:rsidR="00F0739D" w:rsidRPr="00001562" w:rsidRDefault="00AD0926"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Gu, </w:t>
      </w:r>
      <w:proofErr w:type="spellStart"/>
      <w:r w:rsidRPr="00001562">
        <w:rPr>
          <w:rFonts w:ascii="Times New Roman" w:hAnsi="Times New Roman" w:cs="Times New Roman"/>
        </w:rPr>
        <w:t>Yumeng</w:t>
      </w:r>
      <w:proofErr w:type="spellEnd"/>
      <w:r w:rsidRPr="00001562">
        <w:rPr>
          <w:rFonts w:ascii="Times New Roman" w:hAnsi="Times New Roman" w:cs="Times New Roman"/>
        </w:rPr>
        <w:t xml:space="preserve"> and S.R. Singh.</w:t>
      </w:r>
      <w:r w:rsidR="004853BC">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Pr="00001562">
        <w:rPr>
          <w:rFonts w:ascii="Times New Roman" w:hAnsi="Times New Roman" w:cs="Times New Roman"/>
        </w:rPr>
        <w:t>.</w:t>
      </w: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ABCB" w14:textId="77777777" w:rsidR="00EC6E38" w:rsidRDefault="00EC6E38" w:rsidP="00F8764D">
      <w:r>
        <w:separator/>
      </w:r>
    </w:p>
  </w:endnote>
  <w:endnote w:type="continuationSeparator" w:id="0">
    <w:p w14:paraId="37BB6756" w14:textId="77777777" w:rsidR="00EC6E38" w:rsidRDefault="00EC6E38"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418342"/>
      <w:docPartObj>
        <w:docPartGallery w:val="Page Numbers (Bottom of Page)"/>
        <w:docPartUnique/>
      </w:docPartObj>
    </w:sdtPr>
    <w:sdtContent>
      <w:p w14:paraId="15770F9E" w14:textId="195E8430"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C11609" w14:textId="77777777" w:rsidR="000E10C3" w:rsidRDefault="000E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268858"/>
      <w:docPartObj>
        <w:docPartGallery w:val="Page Numbers (Bottom of Page)"/>
        <w:docPartUnique/>
      </w:docPartObj>
    </w:sdtPr>
    <w:sdtContent>
      <w:p w14:paraId="573E28BF" w14:textId="25E26387"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F635" w14:textId="77777777" w:rsidR="00EC6E38" w:rsidRDefault="00EC6E38" w:rsidP="00F8764D">
      <w:r>
        <w:separator/>
      </w:r>
    </w:p>
  </w:footnote>
  <w:footnote w:type="continuationSeparator" w:id="0">
    <w:p w14:paraId="2CC70AE2" w14:textId="77777777" w:rsidR="00EC6E38" w:rsidRDefault="00EC6E38" w:rsidP="00F8764D">
      <w:r>
        <w:continuationSeparator/>
      </w:r>
    </w:p>
  </w:footnote>
  <w:footnote w:id="1">
    <w:p w14:paraId="282A1777" w14:textId="7F644710" w:rsidR="00260803" w:rsidRPr="00260803" w:rsidRDefault="00260803" w:rsidP="00260803">
      <w:pPr>
        <w:pStyle w:val="FootnoteText"/>
      </w:pPr>
      <w:r>
        <w:rPr>
          <w:rStyle w:val="FootnoteReference"/>
        </w:rPr>
        <w:footnoteRef/>
      </w:r>
      <w:r>
        <w:t xml:space="preserve"> </w:t>
      </w:r>
      <w:proofErr w:type="spellStart"/>
      <w:r w:rsidRPr="00001562">
        <w:rPr>
          <w:rFonts w:ascii="Times New Roman" w:hAnsi="Times New Roman" w:cs="Times New Roman"/>
          <w:color w:val="000000" w:themeColor="text1"/>
          <w:shd w:val="clear" w:color="auto" w:fill="FFFFFF"/>
        </w:rPr>
        <w:t>Jordà</w:t>
      </w:r>
      <w:proofErr w:type="spellEnd"/>
      <w:r w:rsidRPr="00001562">
        <w:rPr>
          <w:rFonts w:ascii="Times New Roman" w:hAnsi="Times New Roman" w:cs="Times New Roman"/>
          <w:color w:val="000000" w:themeColor="text1"/>
          <w:shd w:val="clear" w:color="auto" w:fill="FFFFFF"/>
        </w:rPr>
        <w:t xml:space="preserve">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w:t>
      </w:r>
      <w:proofErr w:type="spellStart"/>
      <w:r w:rsidRPr="00001562">
        <w:rPr>
          <w:rFonts w:ascii="Times New Roman" w:hAnsi="Times New Roman" w:cs="Times New Roman"/>
        </w:rPr>
        <w:t>Schularick</w:t>
      </w:r>
      <w:proofErr w:type="spellEnd"/>
      <w:r w:rsidRPr="00001562">
        <w:rPr>
          <w:rFonts w:ascii="Times New Roman" w:hAnsi="Times New Roman" w:cs="Times New Roman"/>
        </w:rPr>
        <w:t>,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2">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proofErr w:type="spellStart"/>
      <w:r w:rsidRPr="00001562">
        <w:rPr>
          <w:rFonts w:ascii="Times New Roman" w:hAnsi="Times New Roman" w:cs="Times New Roman"/>
        </w:rPr>
        <w:t>Benigno</w:t>
      </w:r>
      <w:proofErr w:type="spellEnd"/>
      <w:r w:rsidRPr="00001562">
        <w:rPr>
          <w:rFonts w:ascii="Times New Roman" w:hAnsi="Times New Roman" w:cs="Times New Roman"/>
        </w:rPr>
        <w:t>,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w:t>
      </w:r>
      <w:proofErr w:type="spellStart"/>
      <w:r w:rsidRPr="00001562">
        <w:rPr>
          <w:rFonts w:ascii="Times New Roman" w:hAnsi="Times New Roman" w:cs="Times New Roman"/>
        </w:rPr>
        <w:t>Fornaro</w:t>
      </w:r>
      <w:proofErr w:type="spellEnd"/>
      <w:r w:rsidRPr="00001562">
        <w:rPr>
          <w:rFonts w:ascii="Times New Roman" w:hAnsi="Times New Roman" w:cs="Times New Roman"/>
        </w:rPr>
        <w:t>. 2018. Stagnation Traps. The Review of Economic Studies.</w:t>
      </w:r>
    </w:p>
  </w:footnote>
  <w:footnote w:id="3">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w:t>
      </w:r>
      <w:proofErr w:type="gramStart"/>
      <w:r w:rsidRPr="00001562">
        <w:rPr>
          <w:rFonts w:ascii="Times New Roman" w:hAnsi="Times New Roman" w:cs="Times New Roman"/>
        </w:rPr>
        <w:t>growth</w:t>
      </w:r>
      <w:proofErr w:type="gramEnd"/>
      <w:r w:rsidRPr="00001562">
        <w:rPr>
          <w:rFonts w:ascii="Times New Roman" w:hAnsi="Times New Roman" w:cs="Times New Roman"/>
        </w:rPr>
        <w:t xml:space="preserve"> and endogenous misallocation. </w:t>
      </w:r>
      <w:proofErr w:type="spellStart"/>
      <w:r w:rsidRPr="00001562">
        <w:rPr>
          <w:rFonts w:ascii="Times New Roman" w:hAnsi="Times New Roman" w:cs="Times New Roman"/>
        </w:rPr>
        <w:t>Econometrica</w:t>
      </w:r>
      <w:proofErr w:type="spellEnd"/>
      <w:r w:rsidRPr="00001562">
        <w:rPr>
          <w:rFonts w:ascii="Times New Roman" w:hAnsi="Times New Roman" w:cs="Times New Roman"/>
        </w:rPr>
        <w:t>.</w:t>
      </w:r>
    </w:p>
  </w:footnote>
  <w:footnote w:id="4">
    <w:p w14:paraId="28CBC79B" w14:textId="1525CBB1" w:rsidR="0055621E" w:rsidRPr="004138A4" w:rsidRDefault="0055621E" w:rsidP="0055621E">
      <w:pPr>
        <w:pStyle w:val="FootnoteText"/>
      </w:pPr>
      <w:r>
        <w:rPr>
          <w:rStyle w:val="FootnoteReference"/>
        </w:rPr>
        <w:footnoteRef/>
      </w:r>
      <w:r>
        <w:t xml:space="preserve"> </w:t>
      </w:r>
      <w:proofErr w:type="spellStart"/>
      <w:r w:rsidR="00C9541D" w:rsidRPr="00001562">
        <w:rPr>
          <w:rFonts w:ascii="Times New Roman" w:hAnsi="Times New Roman" w:cs="Times New Roman"/>
        </w:rPr>
        <w:t>Benhabib</w:t>
      </w:r>
      <w:proofErr w:type="spellEnd"/>
      <w:r w:rsidR="00C9541D" w:rsidRPr="00001562">
        <w:rPr>
          <w:rFonts w:ascii="Times New Roman" w:hAnsi="Times New Roman" w:cs="Times New Roman"/>
        </w:rPr>
        <w:t>,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w:t>
      </w:r>
      <w:proofErr w:type="spellStart"/>
      <w:r w:rsidR="00C9541D" w:rsidRPr="00001562">
        <w:rPr>
          <w:rFonts w:ascii="Times New Roman" w:hAnsi="Times New Roman" w:cs="Times New Roman"/>
        </w:rPr>
        <w:t>Groh</w:t>
      </w:r>
      <w:r w:rsidR="00C9541D">
        <w:rPr>
          <w:rFonts w:ascii="Times New Roman" w:hAnsi="Times New Roman" w:cs="Times New Roman"/>
        </w:rPr>
        <w:t>é</w:t>
      </w:r>
      <w:proofErr w:type="spellEnd"/>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5">
    <w:p w14:paraId="05CCF697" w14:textId="7178E1F6" w:rsidR="00BD66AE" w:rsidRPr="004138A4" w:rsidRDefault="00BD66AE" w:rsidP="00BD66AE">
      <w:pPr>
        <w:pStyle w:val="FootnoteText"/>
      </w:pPr>
      <w:r>
        <w:rPr>
          <w:rStyle w:val="FootnoteReference"/>
        </w:rPr>
        <w:footnoteRef/>
      </w:r>
      <w:r>
        <w:t xml:space="preserve"> </w:t>
      </w:r>
      <w:proofErr w:type="spellStart"/>
      <w:r w:rsidR="00A444B9" w:rsidRPr="00001562">
        <w:rPr>
          <w:rFonts w:ascii="Times New Roman" w:hAnsi="Times New Roman" w:cs="Times New Roman"/>
        </w:rPr>
        <w:t>Benhabib</w:t>
      </w:r>
      <w:proofErr w:type="spellEnd"/>
      <w:r w:rsidR="00A444B9" w:rsidRPr="00001562">
        <w:rPr>
          <w:rFonts w:ascii="Times New Roman" w:hAnsi="Times New Roman" w:cs="Times New Roman"/>
        </w:rPr>
        <w:t>,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w:t>
      </w:r>
      <w:proofErr w:type="spellStart"/>
      <w:r w:rsidR="00A444B9" w:rsidRPr="00001562">
        <w:rPr>
          <w:rFonts w:ascii="Times New Roman" w:hAnsi="Times New Roman" w:cs="Times New Roman"/>
        </w:rPr>
        <w:t>Groh</w:t>
      </w:r>
      <w:r w:rsidR="00A444B9">
        <w:rPr>
          <w:rFonts w:ascii="Times New Roman" w:hAnsi="Times New Roman" w:cs="Times New Roman"/>
        </w:rPr>
        <w:t>é</w:t>
      </w:r>
      <w:proofErr w:type="spellEnd"/>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6">
    <w:p w14:paraId="7E900D79" w14:textId="1624ECAC" w:rsidR="00F8764D" w:rsidRPr="00F8764D" w:rsidRDefault="00F8764D" w:rsidP="00F8764D">
      <w:pPr>
        <w:pStyle w:val="FootnoteText"/>
      </w:pPr>
      <w:r>
        <w:rPr>
          <w:rStyle w:val="FootnoteReference"/>
        </w:rPr>
        <w:footnoteRef/>
      </w:r>
      <w:r>
        <w:t xml:space="preserve"> </w:t>
      </w:r>
      <w:r w:rsidRPr="00F8764D">
        <w:t>Mas-</w:t>
      </w:r>
      <w:proofErr w:type="spellStart"/>
      <w:r w:rsidRPr="00F8764D">
        <w:t>Colell</w:t>
      </w:r>
      <w:proofErr w:type="spellEnd"/>
      <w:r w:rsidRPr="00F8764D">
        <w:t xml:space="preserve">,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7">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8">
    <w:p w14:paraId="2753C9CF" w14:textId="71302FF1" w:rsidR="00353E2F" w:rsidRDefault="00353E2F">
      <w:pPr>
        <w:pStyle w:val="FootnoteText"/>
      </w:pPr>
      <w:r>
        <w:rPr>
          <w:rStyle w:val="FootnoteReference"/>
        </w:rPr>
        <w:footnoteRef/>
      </w:r>
      <w:r>
        <w:t xml:space="preserve"> </w:t>
      </w:r>
      <w:r w:rsidRPr="00353E2F">
        <w:t xml:space="preserve">Obstfeld, </w:t>
      </w:r>
      <w:proofErr w:type="gramStart"/>
      <w:r w:rsidRPr="00353E2F">
        <w:t>M.</w:t>
      </w:r>
      <w:proofErr w:type="gramEnd"/>
      <w:r w:rsidRPr="00353E2F">
        <w:t xml:space="preserve"> and G. Peri</w:t>
      </w:r>
      <w:r w:rsidR="00AE155D">
        <w:t xml:space="preserve">. </w:t>
      </w:r>
      <w:r w:rsidRPr="00353E2F">
        <w:t xml:space="preserve">1998. Regional </w:t>
      </w:r>
      <w:proofErr w:type="spellStart"/>
      <w:r w:rsidRPr="00353E2F">
        <w:t>Nonadjustment</w:t>
      </w:r>
      <w:proofErr w:type="spellEnd"/>
      <w:r w:rsidRPr="00353E2F">
        <w:t xml:space="preserve"> and Fiscal Policy. Economic Policy 13(26), 205–259</w:t>
      </w:r>
      <w:r>
        <w:t>.</w:t>
      </w:r>
    </w:p>
  </w:footnote>
  <w:footnote w:id="9">
    <w:p w14:paraId="0D6C55CB" w14:textId="282BCEBD" w:rsidR="00353E2F" w:rsidRPr="00353E2F" w:rsidRDefault="00353E2F" w:rsidP="00353E2F">
      <w:pPr>
        <w:pStyle w:val="FootnoteText"/>
      </w:pPr>
      <w:r>
        <w:rPr>
          <w:rStyle w:val="FootnoteReference"/>
        </w:rPr>
        <w:footnoteRef/>
      </w:r>
      <w:r>
        <w:t xml:space="preserve"> </w:t>
      </w:r>
      <w:r w:rsidRPr="00353E2F">
        <w:t xml:space="preserve">Blanchard, </w:t>
      </w:r>
      <w:proofErr w:type="gramStart"/>
      <w:r w:rsidRPr="00353E2F">
        <w:t>O.</w:t>
      </w:r>
      <w:proofErr w:type="gramEnd"/>
      <w:r w:rsidRPr="00353E2F">
        <w:t xml:space="preserve">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0C82"/>
    <w:rsid w:val="000119D2"/>
    <w:rsid w:val="00011AB3"/>
    <w:rsid w:val="000252F0"/>
    <w:rsid w:val="00030F06"/>
    <w:rsid w:val="00050323"/>
    <w:rsid w:val="00053B03"/>
    <w:rsid w:val="0005515C"/>
    <w:rsid w:val="0006260F"/>
    <w:rsid w:val="00063DA0"/>
    <w:rsid w:val="00083029"/>
    <w:rsid w:val="0009303E"/>
    <w:rsid w:val="00094DF0"/>
    <w:rsid w:val="000A7353"/>
    <w:rsid w:val="000C1008"/>
    <w:rsid w:val="000C5AFB"/>
    <w:rsid w:val="000D4141"/>
    <w:rsid w:val="000E10C3"/>
    <w:rsid w:val="00107725"/>
    <w:rsid w:val="00112FB9"/>
    <w:rsid w:val="00121EDD"/>
    <w:rsid w:val="001269AB"/>
    <w:rsid w:val="001277CB"/>
    <w:rsid w:val="00133BC5"/>
    <w:rsid w:val="00136822"/>
    <w:rsid w:val="00161FD2"/>
    <w:rsid w:val="0017002C"/>
    <w:rsid w:val="0017191C"/>
    <w:rsid w:val="001844CD"/>
    <w:rsid w:val="0019497B"/>
    <w:rsid w:val="001A4039"/>
    <w:rsid w:val="001A63E8"/>
    <w:rsid w:val="001B2C2B"/>
    <w:rsid w:val="001B55B2"/>
    <w:rsid w:val="001C3124"/>
    <w:rsid w:val="001C4A1D"/>
    <w:rsid w:val="001C66A8"/>
    <w:rsid w:val="001D13D4"/>
    <w:rsid w:val="001D4C4A"/>
    <w:rsid w:val="001F3EE2"/>
    <w:rsid w:val="001F5CF5"/>
    <w:rsid w:val="00206EB7"/>
    <w:rsid w:val="002103BD"/>
    <w:rsid w:val="00212215"/>
    <w:rsid w:val="00216578"/>
    <w:rsid w:val="00225BF8"/>
    <w:rsid w:val="00231A44"/>
    <w:rsid w:val="002342FE"/>
    <w:rsid w:val="002373CC"/>
    <w:rsid w:val="00243930"/>
    <w:rsid w:val="00247EDA"/>
    <w:rsid w:val="002603C3"/>
    <w:rsid w:val="00260803"/>
    <w:rsid w:val="00261624"/>
    <w:rsid w:val="00262844"/>
    <w:rsid w:val="00266FD5"/>
    <w:rsid w:val="00284EA4"/>
    <w:rsid w:val="002B58C9"/>
    <w:rsid w:val="002C567C"/>
    <w:rsid w:val="002C7474"/>
    <w:rsid w:val="002D0E77"/>
    <w:rsid w:val="002D3F36"/>
    <w:rsid w:val="002D5D57"/>
    <w:rsid w:val="002E1B85"/>
    <w:rsid w:val="002F0B60"/>
    <w:rsid w:val="002F2CA4"/>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4953"/>
    <w:rsid w:val="003A5D92"/>
    <w:rsid w:val="003B2E7E"/>
    <w:rsid w:val="003B4AE7"/>
    <w:rsid w:val="003B7CA2"/>
    <w:rsid w:val="003B7F1D"/>
    <w:rsid w:val="003C01E1"/>
    <w:rsid w:val="003C03A4"/>
    <w:rsid w:val="003C3BE8"/>
    <w:rsid w:val="003C7CAD"/>
    <w:rsid w:val="003D25A4"/>
    <w:rsid w:val="003E39F6"/>
    <w:rsid w:val="004138A4"/>
    <w:rsid w:val="00430648"/>
    <w:rsid w:val="00430C3A"/>
    <w:rsid w:val="004403F2"/>
    <w:rsid w:val="004615ED"/>
    <w:rsid w:val="00474B0C"/>
    <w:rsid w:val="004853BC"/>
    <w:rsid w:val="0049479E"/>
    <w:rsid w:val="00495575"/>
    <w:rsid w:val="00496B0B"/>
    <w:rsid w:val="004A4024"/>
    <w:rsid w:val="004A514B"/>
    <w:rsid w:val="004A541B"/>
    <w:rsid w:val="004B1E3E"/>
    <w:rsid w:val="004C5068"/>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C7CA3"/>
    <w:rsid w:val="005D0BF9"/>
    <w:rsid w:val="005D14F5"/>
    <w:rsid w:val="005D207D"/>
    <w:rsid w:val="005D5031"/>
    <w:rsid w:val="005F02B2"/>
    <w:rsid w:val="005F40D9"/>
    <w:rsid w:val="005F64BB"/>
    <w:rsid w:val="005F6A74"/>
    <w:rsid w:val="006019DD"/>
    <w:rsid w:val="00601FEA"/>
    <w:rsid w:val="006047BE"/>
    <w:rsid w:val="00605A67"/>
    <w:rsid w:val="006064E2"/>
    <w:rsid w:val="0061261C"/>
    <w:rsid w:val="006327F7"/>
    <w:rsid w:val="00634D04"/>
    <w:rsid w:val="0064471A"/>
    <w:rsid w:val="00646D84"/>
    <w:rsid w:val="00647D00"/>
    <w:rsid w:val="006514F6"/>
    <w:rsid w:val="006636E0"/>
    <w:rsid w:val="00675AC5"/>
    <w:rsid w:val="006760EA"/>
    <w:rsid w:val="006803B2"/>
    <w:rsid w:val="00693E57"/>
    <w:rsid w:val="00694975"/>
    <w:rsid w:val="00696CAA"/>
    <w:rsid w:val="006979AE"/>
    <w:rsid w:val="006A1A66"/>
    <w:rsid w:val="006A76FB"/>
    <w:rsid w:val="006B2E47"/>
    <w:rsid w:val="006B5DA8"/>
    <w:rsid w:val="006B7AA5"/>
    <w:rsid w:val="006C6792"/>
    <w:rsid w:val="006D0E16"/>
    <w:rsid w:val="006D2EFC"/>
    <w:rsid w:val="006D528E"/>
    <w:rsid w:val="006E05DD"/>
    <w:rsid w:val="006F3233"/>
    <w:rsid w:val="006F59BF"/>
    <w:rsid w:val="0070081C"/>
    <w:rsid w:val="007034B7"/>
    <w:rsid w:val="00703DA5"/>
    <w:rsid w:val="00715E5B"/>
    <w:rsid w:val="00717060"/>
    <w:rsid w:val="007271E2"/>
    <w:rsid w:val="007313EC"/>
    <w:rsid w:val="00731ED5"/>
    <w:rsid w:val="00741F00"/>
    <w:rsid w:val="007452D9"/>
    <w:rsid w:val="00754B82"/>
    <w:rsid w:val="00755CE8"/>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332"/>
    <w:rsid w:val="00802083"/>
    <w:rsid w:val="0081182C"/>
    <w:rsid w:val="0082245A"/>
    <w:rsid w:val="0082568D"/>
    <w:rsid w:val="00825EF7"/>
    <w:rsid w:val="008329D2"/>
    <w:rsid w:val="008375F2"/>
    <w:rsid w:val="0084287B"/>
    <w:rsid w:val="00851173"/>
    <w:rsid w:val="008518D3"/>
    <w:rsid w:val="008651E6"/>
    <w:rsid w:val="008711B9"/>
    <w:rsid w:val="008768BB"/>
    <w:rsid w:val="008806C2"/>
    <w:rsid w:val="0088274B"/>
    <w:rsid w:val="008A1CE2"/>
    <w:rsid w:val="008A2A73"/>
    <w:rsid w:val="008B1ADC"/>
    <w:rsid w:val="008B52BB"/>
    <w:rsid w:val="008B5FEC"/>
    <w:rsid w:val="008E66DB"/>
    <w:rsid w:val="008F0755"/>
    <w:rsid w:val="008F105B"/>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02DA8"/>
    <w:rsid w:val="00A40538"/>
    <w:rsid w:val="00A444B9"/>
    <w:rsid w:val="00A552E9"/>
    <w:rsid w:val="00A61EFF"/>
    <w:rsid w:val="00A656EF"/>
    <w:rsid w:val="00A701BA"/>
    <w:rsid w:val="00A7436B"/>
    <w:rsid w:val="00A90588"/>
    <w:rsid w:val="00A949DA"/>
    <w:rsid w:val="00AA0080"/>
    <w:rsid w:val="00AA5BF4"/>
    <w:rsid w:val="00AB0E69"/>
    <w:rsid w:val="00AB2160"/>
    <w:rsid w:val="00AC0AC5"/>
    <w:rsid w:val="00AD0926"/>
    <w:rsid w:val="00AE0D67"/>
    <w:rsid w:val="00AE155D"/>
    <w:rsid w:val="00AE2B40"/>
    <w:rsid w:val="00AF59E3"/>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E04"/>
    <w:rsid w:val="00BC5B46"/>
    <w:rsid w:val="00BD4B13"/>
    <w:rsid w:val="00BD66AE"/>
    <w:rsid w:val="00BE373F"/>
    <w:rsid w:val="00BE3B5A"/>
    <w:rsid w:val="00BF0883"/>
    <w:rsid w:val="00BF79B8"/>
    <w:rsid w:val="00C05CD7"/>
    <w:rsid w:val="00C074DE"/>
    <w:rsid w:val="00C12CD1"/>
    <w:rsid w:val="00C3200C"/>
    <w:rsid w:val="00C32BE6"/>
    <w:rsid w:val="00C428F6"/>
    <w:rsid w:val="00C71F89"/>
    <w:rsid w:val="00C724D4"/>
    <w:rsid w:val="00C837C7"/>
    <w:rsid w:val="00C84DCD"/>
    <w:rsid w:val="00C85897"/>
    <w:rsid w:val="00C9541D"/>
    <w:rsid w:val="00CA4737"/>
    <w:rsid w:val="00CA5A2C"/>
    <w:rsid w:val="00CB092C"/>
    <w:rsid w:val="00CB2FA1"/>
    <w:rsid w:val="00CB3D6D"/>
    <w:rsid w:val="00CC3CAE"/>
    <w:rsid w:val="00CC4D19"/>
    <w:rsid w:val="00CD12E6"/>
    <w:rsid w:val="00CD2EC4"/>
    <w:rsid w:val="00CE77EC"/>
    <w:rsid w:val="00D0374C"/>
    <w:rsid w:val="00D1436F"/>
    <w:rsid w:val="00D232C9"/>
    <w:rsid w:val="00D251BC"/>
    <w:rsid w:val="00D25EC5"/>
    <w:rsid w:val="00D26230"/>
    <w:rsid w:val="00D50823"/>
    <w:rsid w:val="00D6230D"/>
    <w:rsid w:val="00D66594"/>
    <w:rsid w:val="00D71D54"/>
    <w:rsid w:val="00D72C6B"/>
    <w:rsid w:val="00D831C0"/>
    <w:rsid w:val="00D90763"/>
    <w:rsid w:val="00D96061"/>
    <w:rsid w:val="00DA5C5E"/>
    <w:rsid w:val="00DB1852"/>
    <w:rsid w:val="00DC132D"/>
    <w:rsid w:val="00DC6200"/>
    <w:rsid w:val="00DD2C30"/>
    <w:rsid w:val="00DE3DA8"/>
    <w:rsid w:val="00DE5785"/>
    <w:rsid w:val="00DF021C"/>
    <w:rsid w:val="00DF0F8C"/>
    <w:rsid w:val="00DF42F5"/>
    <w:rsid w:val="00DF458F"/>
    <w:rsid w:val="00DF4D23"/>
    <w:rsid w:val="00DF5A24"/>
    <w:rsid w:val="00E003C3"/>
    <w:rsid w:val="00E046E7"/>
    <w:rsid w:val="00E10C43"/>
    <w:rsid w:val="00E13FEC"/>
    <w:rsid w:val="00E17D33"/>
    <w:rsid w:val="00E23D25"/>
    <w:rsid w:val="00E32684"/>
    <w:rsid w:val="00E32E78"/>
    <w:rsid w:val="00E35FAC"/>
    <w:rsid w:val="00E43AC2"/>
    <w:rsid w:val="00E45D56"/>
    <w:rsid w:val="00E45FA3"/>
    <w:rsid w:val="00E505BB"/>
    <w:rsid w:val="00E52BE1"/>
    <w:rsid w:val="00E5556F"/>
    <w:rsid w:val="00E6175B"/>
    <w:rsid w:val="00E623DC"/>
    <w:rsid w:val="00E842C7"/>
    <w:rsid w:val="00E854C0"/>
    <w:rsid w:val="00EB09AB"/>
    <w:rsid w:val="00EB3D08"/>
    <w:rsid w:val="00EB45B6"/>
    <w:rsid w:val="00EC6E38"/>
    <w:rsid w:val="00ED24BC"/>
    <w:rsid w:val="00ED3355"/>
    <w:rsid w:val="00EE235F"/>
    <w:rsid w:val="00EE2B5A"/>
    <w:rsid w:val="00EE487F"/>
    <w:rsid w:val="00EE6389"/>
    <w:rsid w:val="00EF6568"/>
    <w:rsid w:val="00F0739D"/>
    <w:rsid w:val="00F20255"/>
    <w:rsid w:val="00F2766C"/>
    <w:rsid w:val="00F37B74"/>
    <w:rsid w:val="00F55F7D"/>
    <w:rsid w:val="00F65F7A"/>
    <w:rsid w:val="00F72F6B"/>
    <w:rsid w:val="00F7447A"/>
    <w:rsid w:val="00F8098D"/>
    <w:rsid w:val="00F80C25"/>
    <w:rsid w:val="00F822CF"/>
    <w:rsid w:val="00F8764D"/>
    <w:rsid w:val="00F91FD7"/>
    <w:rsid w:val="00F94E93"/>
    <w:rsid w:val="00FA6C55"/>
    <w:rsid w:val="00FB0DD6"/>
    <w:rsid w:val="00FB18BA"/>
    <w:rsid w:val="00FB4C36"/>
    <w:rsid w:val="00FC7E75"/>
    <w:rsid w:val="00FD521B"/>
    <w:rsid w:val="00FF33C0"/>
    <w:rsid w:val="00FF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10</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448</cp:revision>
  <dcterms:created xsi:type="dcterms:W3CDTF">2018-08-29T18:53:00Z</dcterms:created>
  <dcterms:modified xsi:type="dcterms:W3CDTF">2023-07-28T20:12:00Z</dcterms:modified>
</cp:coreProperties>
</file>