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SDFL PROJECT</w:t>
        <w:br/>
        <w:t>FINAL PRE-SUBMISSION AUDIT REPORT</w:t>
      </w:r>
    </w:p>
    <w:p>
      <w:pPr>
        <w:jc w:val="center"/>
      </w:pPr>
      <w:r>
        <w:rPr>
          <w:i/>
          <w:sz w:val="24"/>
        </w:rPr>
        <w:t>Secure Distributed Federated Learning with Temporal Key Destruction</w:t>
        <w:br/>
        <w:t>and Active PHI Sanitization for Medical Image Segmentation</w:t>
      </w:r>
    </w:p>
    <w:p/>
    <w:p>
      <w:pPr>
        <w:jc w:val="center"/>
      </w:pPr>
      <w:r>
        <w:rPr>
          <w:sz w:val="20"/>
        </w:rPr>
        <w:t>Audit Date: October 4, 2026</w:t>
        <w:br/>
        <w:t>Branch: mukesh/sdfl-completion (f9dd08d)</w:t>
        <w:br/>
        <w:t>Integration: origin/integration/sdfl-final-validation (85d281e)</w:t>
      </w:r>
    </w:p>
    <w:p>
      <w:r>
        <w:br w:type="page"/>
      </w:r>
    </w:p>
    <w:p>
      <w:pPr>
        <w:pStyle w:val="Heading1"/>
      </w:pPr>
      <w:r>
        <w:rPr>
          <w:color w:val="1F497D"/>
        </w:rPr>
        <w:t>1. OVERALL SUBMISSION VERDICT</w:t>
      </w:r>
    </w:p>
    <w:tbl>
      <w:tblPr>
        <w:tblStyle w:val="TableGrid"/>
        <w:tblW w:type="auto" w:w="0"/>
        <w:tblLook w:firstColumn="1" w:firstRow="1" w:lastColumn="0" w:lastRow="0" w:noHBand="0" w:noVBand="1" w:val="04A0"/>
      </w:tblPr>
      <w:tblGrid>
        <w:gridCol w:w="9360"/>
      </w:tblGrid>
      <w:tr>
        <w:tc>
          <w:tcPr>
            <w:tcW w:type="dxa" w:w="9360"/>
            <w:shd w:fill="FFF2CC" w:val="clear"/>
          </w:tcPr>
          <w:p>
            <w:r/>
            <w:r>
              <w:rPr>
                <w:b/>
                <w:color w:val="C00000"/>
                <w:sz w:val="26"/>
              </w:rPr>
              <w:t>VERDICT: NOT SUBMITTABLE TODAY - 4 BLOCKERS MUST BE RESOLVED FIRST</w:t>
            </w:r>
          </w:p>
        </w:tc>
      </w:tr>
    </w:tbl>
    <w:p/>
    <w:p>
      <w:r>
        <w:rPr>
          <w:b w:val="0"/>
          <w:i w:val="0"/>
          <w:sz w:val="20"/>
        </w:rPr>
        <w:t>The core engineering implementation (~92% complete), cryptographic design, dataset utilities, demo application, and all 15 experiment results are robust and complete. The project CANNOT be submitted today due to 4 specific blockers -- 1 legal and 3 scientific/editorial. Once resolved, the manuscript is suitable for a top-tier journal (Computer Methods and Programs in Biomedicine or IEEE JBHI).</w:t>
      </w:r>
    </w:p>
    <w:p>
      <w:pPr>
        <w:pStyle w:val="Heading1"/>
      </w:pPr>
      <w:r>
        <w:rPr>
          <w:color w:val="C00000"/>
        </w:rPr>
        <w:t>2. CRITICAL BLOCKERS - MUST FIX BEFORE SUBMISSION</w:t>
      </w:r>
    </w:p>
    <w:p>
      <w:pPr>
        <w:pStyle w:val="Heading2"/>
      </w:pPr>
      <w:r>
        <w:rPr>
          <w:color w:val="C00000"/>
        </w:rPr>
        <w:t>Blocker 1 (LEGAL): Patent Priority Date vs. Preprint Disclosure</w:t>
      </w:r>
    </w:p>
    <w:p>
      <w:r>
        <w:rPr>
          <w:b w:val="0"/>
          <w:i w:val="0"/>
          <w:sz w:val="20"/>
        </w:rPr>
        <w:t>This is a legal gate, not a technical one. The Khurana &amp; Khurana search report (Sept 4, 2026) confirmed novelty for Feature F1. However, India operates under a strict first-to-file rule (Indian Patents Act 1970) with no general author grace period.</w:t>
      </w:r>
    </w:p>
    <w:p>
      <w:pPr>
        <w:pStyle w:val="ListBullet"/>
      </w:pPr>
      <w:r>
        <w:rPr>
          <w:b/>
          <w:color w:val="C00000"/>
          <w:sz w:val="20"/>
        </w:rPr>
        <w:t xml:space="preserve">RISK: </w:t>
      </w:r>
      <w:r>
        <w:rPr>
          <w:sz w:val="20"/>
        </w:rPr>
        <w:t>Uploading to arXiv, SSRN, Overleaf share links, or any journal portal BEFORE the Indian Patent Office (IPO) issues an official Application Number will make the manuscript prior art against your own application, destroying novelty under Section 13/29 of the Act.</w:t>
      </w:r>
    </w:p>
    <w:p>
      <w:pPr>
        <w:pStyle w:val="ListBullet"/>
      </w:pPr>
      <w:r>
        <w:rPr>
          <w:b/>
          <w:sz w:val="20"/>
        </w:rPr>
        <w:t xml:space="preserve">Required Action: </w:t>
      </w:r>
      <w:r>
        <w:rPr>
          <w:sz w:val="20"/>
        </w:rPr>
        <w:t>Obtain written confirmation from the VIT Intellectual Property / Technology Transfer Office that the Provisional Patent Application has been officially filed and an Application Number assigned. Do NOT upload or share the preprint until this confirmation is received.</w:t>
      </w:r>
    </w:p>
    <w:p>
      <w:pPr>
        <w:pStyle w:val="Heading2"/>
      </w:pPr>
      <w:r>
        <w:rPr>
          <w:color w:val="C00000"/>
        </w:rPr>
        <w:t>Blocker 2 (SCIENTIFIC): FedProx Proximal Term Inactive Under Opacus DP-SGD</w:t>
      </w:r>
    </w:p>
    <w:p>
      <w:r>
        <w:rPr>
          <w:b w:val="0"/>
          <w:i w:val="0"/>
          <w:sz w:val="20"/>
        </w:rPr>
        <w:t>This is a confirmed implementation finding that must be disclosed. In e4_dpsgd.py and e7_temporal.py, the proximal loss is correctly added before backward(). However, Opacus DPOptimizer overwrites w.grad during step() using only the clipped+noised per-sample gradients from layer hooks -- discarding the parameter-level proximal contribution entirely. Empirically confirmed: effective mu = 0.0 in all DP stages.</w:t>
      </w:r>
    </w:p>
    <w:p>
      <w:pPr>
        <w:pStyle w:val="ListBullet"/>
      </w:pPr>
      <w:r>
        <w:rPr>
          <w:b/>
          <w:sz w:val="20"/>
        </w:rPr>
        <w:t xml:space="preserve">Required Action: </w:t>
      </w:r>
      <w:r>
        <w:rPr>
          <w:sz w:val="20"/>
        </w:rPr>
        <w:t>Add one clear sentence in the Methods section stating that the proximal term is inactive during DP-SGD training due to Opacus hook architecture, and that DP-stage models trained as pure DP-FedAvg.</w:t>
      </w:r>
    </w:p>
    <w:p>
      <w:pPr>
        <w:pStyle w:val="Heading2"/>
      </w:pPr>
      <w:r>
        <w:rPr>
          <w:color w:val="C00000"/>
        </w:rPr>
        <w:t>Blocker 3 (MATHEMATICAL): Privacy Accounting Sampling Rate Error</w:t>
      </w:r>
    </w:p>
    <w:p>
      <w:r>
        <w:rPr>
          <w:b w:val="0"/>
          <w:i w:val="0"/>
          <w:sz w:val="20"/>
        </w:rPr>
        <w:t>The reported epsilon = 2.772 is mathematically correct and has been verified. However, prior versions of E11_ACCOUNTING.md and possibly the manuscript draft stated q = 8/612 (pooled dataset) which yields epsilon = 1.097 -- not 2.772. The correct formula uses q = 8/262 (per-client local dataset size). This has been fixed in the repository (commit f9dd08d).</w:t>
      </w:r>
    </w:p>
    <w:tbl>
      <w:tblPr>
        <w:tblStyle w:val="TableGrid"/>
        <w:tblW w:type="auto" w:w="0"/>
        <w:tblLook w:firstColumn="1" w:firstRow="1" w:lastColumn="0" w:lastRow="0" w:noHBand="0" w:noVBand="1" w:val="04A0"/>
      </w:tblPr>
      <w:tblGrid>
        <w:gridCol w:w="3120"/>
        <w:gridCol w:w="3120"/>
        <w:gridCol w:w="3120"/>
      </w:tblGrid>
      <w:tr>
        <w:tc>
          <w:tcPr>
            <w:tcW w:type="dxa" w:w="3120"/>
            <w:shd w:fill="DAE8FC" w:val="clear"/>
          </w:tcPr>
          <w:p>
            <w:r/>
            <w:r>
              <w:rPr>
                <w:b/>
                <w:color w:val="000000"/>
                <w:sz w:val="18"/>
              </w:rPr>
              <w:t>Sampling Rate Formula</w:t>
            </w:r>
          </w:p>
        </w:tc>
        <w:tc>
          <w:tcPr>
            <w:tcW w:type="dxa" w:w="3120"/>
            <w:shd w:fill="DAE8FC" w:val="clear"/>
          </w:tcPr>
          <w:p>
            <w:r/>
            <w:r>
              <w:rPr>
                <w:b/>
                <w:color w:val="000000"/>
                <w:sz w:val="18"/>
              </w:rPr>
              <w:t>Epsilon Result</w:t>
            </w:r>
          </w:p>
        </w:tc>
        <w:tc>
          <w:tcPr>
            <w:tcW w:type="dxa" w:w="3120"/>
            <w:shd w:fill="DAE8FC" w:val="clear"/>
          </w:tcPr>
          <w:p>
            <w:r/>
            <w:r>
              <w:rPr>
                <w:b/>
                <w:color w:val="000000"/>
                <w:sz w:val="18"/>
              </w:rPr>
              <w:t>Status</w:t>
            </w:r>
          </w:p>
        </w:tc>
      </w:tr>
      <w:tr>
        <w:tc>
          <w:tcPr>
            <w:tcW w:type="dxa" w:w="3120"/>
          </w:tcPr>
          <w:p>
            <w:r/>
            <w:r>
              <w:rPr>
                <w:sz w:val="16"/>
              </w:rPr>
              <w:t>q = 8/612 (pooled -- WRONG)</w:t>
            </w:r>
          </w:p>
        </w:tc>
        <w:tc>
          <w:tcPr>
            <w:tcW w:type="dxa" w:w="3120"/>
          </w:tcPr>
          <w:p>
            <w:r/>
            <w:r>
              <w:rPr>
                <w:color w:val="C00000"/>
                <w:sz w:val="16"/>
              </w:rPr>
              <w:t>1.0970</w:t>
            </w:r>
          </w:p>
        </w:tc>
        <w:tc>
          <w:tcPr>
            <w:tcW w:type="dxa" w:w="3120"/>
          </w:tcPr>
          <w:p>
            <w:r/>
            <w:r>
              <w:rPr>
                <w:color w:val="C00000"/>
                <w:sz w:val="16"/>
              </w:rPr>
              <w:t>DO NOT USE IN PAPER</w:t>
            </w:r>
          </w:p>
        </w:tc>
      </w:tr>
      <w:tr>
        <w:tc>
          <w:tcPr>
            <w:tcW w:type="dxa" w:w="3120"/>
          </w:tcPr>
          <w:p>
            <w:r/>
            <w:r>
              <w:rPr>
                <w:sz w:val="16"/>
              </w:rPr>
              <w:t>q = 8/262 (per-client -- CORRECT)</w:t>
            </w:r>
          </w:p>
        </w:tc>
        <w:tc>
          <w:tcPr>
            <w:tcW w:type="dxa" w:w="3120"/>
          </w:tcPr>
          <w:p>
            <w:r/>
            <w:r>
              <w:rPr>
                <w:color w:val="007000"/>
                <w:sz w:val="16"/>
              </w:rPr>
              <w:t>2.7720</w:t>
            </w:r>
          </w:p>
        </w:tc>
        <w:tc>
          <w:tcPr>
            <w:tcW w:type="dxa" w:w="3120"/>
          </w:tcPr>
          <w:p>
            <w:r/>
            <w:r>
              <w:rPr>
                <w:color w:val="007000"/>
                <w:sz w:val="16"/>
              </w:rPr>
              <w:t>USE THIS</w:t>
            </w:r>
          </w:p>
        </w:tc>
      </w:tr>
    </w:tbl>
    <w:p/>
    <w:p>
      <w:pPr>
        <w:pStyle w:val="ListBullet"/>
      </w:pPr>
      <w:r>
        <w:rPr>
          <w:b/>
          <w:sz w:val="20"/>
        </w:rPr>
        <w:t xml:space="preserve">Required Action: </w:t>
      </w:r>
      <w:r>
        <w:rPr>
          <w:sz w:val="20"/>
        </w:rPr>
        <w:t>Verify the manuscript does not contain "q = 0.013" (= 8/612). Correct value is q = 8/262 ~ 0.0305. Also scope epsilon = 2.772 explicitly to the 20-round E8 phase; backbone was warm-started from non-private exploration (standard practice, must be stated).</w:t>
      </w:r>
    </w:p>
    <w:p>
      <w:pPr>
        <w:pStyle w:val="Heading2"/>
      </w:pPr>
      <w:r>
        <w:rPr>
          <w:color w:val="C00000"/>
        </w:rPr>
        <w:t>Blocker 4 (EDITORIAL): Hasan &amp; Rahman (2025) Missing from Comparison Table</w:t>
      </w:r>
    </w:p>
    <w:p>
      <w:r>
        <w:rPr>
          <w:b w:val="0"/>
          <w:i w:val="0"/>
          <w:sz w:val="20"/>
        </w:rPr>
        <w:t>The comparison table and one Discussion sentence contain red placeholder text for Hasan &amp; Rahman (2025) because the paper is behind a ScienceDirect paywall.</w:t>
      </w:r>
    </w:p>
    <w:p>
      <w:pPr>
        <w:pStyle w:val="ListBullet"/>
      </w:pPr>
      <w:r>
        <w:rPr>
          <w:b/>
          <w:sz w:val="20"/>
        </w:rPr>
        <w:t xml:space="preserve">Required Action: </w:t>
      </w:r>
      <w:r>
        <w:rPr>
          <w:sz w:val="20"/>
        </w:rPr>
        <w:t>Access via VIT Library ScienceDirect subscription and fill in exact Dice/IoU values, OR substitute with an accessible open-access baseline from the same medical FL domain.</w:t>
      </w:r>
    </w:p>
    <w:p>
      <w:r>
        <w:br w:type="page"/>
      </w:r>
    </w:p>
    <w:p>
      <w:pPr>
        <w:pStyle w:val="Heading1"/>
      </w:pPr>
      <w:r>
        <w:rPr>
          <w:color w:val="1F497D"/>
        </w:rPr>
        <w:t>3. EDITORIAL / SUBMISSION PACKAGE TASKS</w:t>
      </w:r>
    </w:p>
    <w:p>
      <w:r>
        <w:rPr>
          <w:b w:val="0"/>
          <w:i/>
          <w:sz w:val="20"/>
        </w:rPr>
        <w:t>These must be completed before upload but are not scientific blockers:</w:t>
      </w:r>
    </w:p>
    <w:p>
      <w:pPr>
        <w:pStyle w:val="ListBullet"/>
      </w:pPr>
      <w:r>
        <w:rPr>
          <w:b/>
          <w:sz w:val="20"/>
        </w:rPr>
        <w:t xml:space="preserve">Author Names &amp; Affiliations: </w:t>
      </w:r>
      <w:r>
        <w:rPr>
          <w:sz w:val="20"/>
        </w:rPr>
        <w:t>Replace all [...] red-highlighted text in main.tex with actual author details.</w:t>
      </w:r>
    </w:p>
    <w:p>
      <w:pPr>
        <w:pStyle w:val="ListBullet"/>
      </w:pPr>
      <w:r>
        <w:rPr>
          <w:b/>
          <w:sz w:val="20"/>
        </w:rPr>
        <w:t xml:space="preserve">Funding Statement: </w:t>
      </w:r>
      <w:r>
        <w:rPr>
          <w:sz w:val="20"/>
        </w:rPr>
        <w:t>Fill or formally state "This research received no external funding."</w:t>
      </w:r>
    </w:p>
    <w:p>
      <w:pPr>
        <w:pStyle w:val="ListBullet"/>
      </w:pPr>
      <w:r>
        <w:rPr>
          <w:b/>
          <w:sz w:val="20"/>
        </w:rPr>
        <w:t xml:space="preserve">Ethics Statement: </w:t>
      </w:r>
      <w:r>
        <w:rPr>
          <w:sz w:val="20"/>
        </w:rPr>
        <w:t>Add: The study uses publicly available de-identified datasets (Kvasir-SEG, CVC-ClinicDB) requiring no IRB approval.</w:t>
      </w:r>
    </w:p>
    <w:p>
      <w:pPr>
        <w:pStyle w:val="ListBullet"/>
      </w:pPr>
      <w:r>
        <w:rPr>
          <w:b/>
          <w:sz w:val="20"/>
        </w:rPr>
        <w:t xml:space="preserve">AI-Use Disclosure: </w:t>
      </w:r>
      <w:r>
        <w:rPr>
          <w:sz w:val="20"/>
        </w:rPr>
        <w:t>Elsevier mandates: state AI tools were used for code generation and LaTeX drafting assistance.</w:t>
      </w:r>
    </w:p>
    <w:p>
      <w:pPr>
        <w:pStyle w:val="ListBullet"/>
      </w:pPr>
      <w:r>
        <w:rPr>
          <w:b/>
          <w:sz w:val="20"/>
        </w:rPr>
        <w:t xml:space="preserve">Turnitin / iThenticate: </w:t>
      </w:r>
      <w:r>
        <w:rPr>
          <w:sz w:val="20"/>
        </w:rPr>
        <w:t>Run before submission. Target: overall &lt; 15%, per-source &lt; 1.5% (excluding references and math).</w:t>
      </w:r>
    </w:p>
    <w:p>
      <w:pPr>
        <w:pStyle w:val="ListBullet"/>
      </w:pPr>
      <w:r>
        <w:rPr>
          <w:b/>
          <w:sz w:val="20"/>
        </w:rPr>
        <w:t xml:space="preserve">Overleaf Compilation: </w:t>
      </w:r>
      <w:r>
        <w:rPr>
          <w:sz w:val="20"/>
        </w:rPr>
        <w:t>Upload SDFL_manuscript_overleaf.zip, compile with pdfLaTeX, verify zero undefined references and missing figures.</w:t>
      </w:r>
    </w:p>
    <w:p>
      <w:pPr>
        <w:pStyle w:val="ListBullet"/>
      </w:pPr>
      <w:r>
        <w:rPr>
          <w:b/>
          <w:sz w:val="20"/>
        </w:rPr>
        <w:t xml:space="preserve">Branch Merge: </w:t>
      </w:r>
      <w:r>
        <w:rPr>
          <w:sz w:val="20"/>
        </w:rPr>
        <w:t>Sanjay to merge mukesh/sdfl-completion into integration/sdfl-final-validation (crypto.py and e7_temporal.py conflicts use Sanjay versions; E9-E15 result files use Mukesh versions).</w:t>
      </w:r>
    </w:p>
    <w:p>
      <w:r>
        <w:br w:type="page"/>
      </w:r>
    </w:p>
    <w:p>
      <w:pPr>
        <w:pStyle w:val="Heading1"/>
      </w:pPr>
      <w:r>
        <w:rPr>
          <w:color w:val="1F497D"/>
        </w:rPr>
        <w:t>4. COMPLETE COMPONENT READINESS TABLE</w:t>
      </w:r>
    </w:p>
    <w:p>
      <w:r>
        <w:rPr>
          <w:b w:val="0"/>
          <w:i/>
          <w:sz w:val="18"/>
        </w:rPr>
        <w:t>State after commit f9dd08d on mukesh/sdfl-completion:</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97D" w:val="clear"/>
          </w:tcPr>
          <w:p>
            <w:r/>
            <w:r>
              <w:rPr>
                <w:b/>
                <w:color w:val="FFFFFF"/>
                <w:sz w:val="18"/>
              </w:rPr>
              <w:t>Component</w:t>
            </w:r>
          </w:p>
        </w:tc>
        <w:tc>
          <w:tcPr>
            <w:tcW w:type="dxa" w:w="1872"/>
            <w:shd w:fill="1F497D" w:val="clear"/>
          </w:tcPr>
          <w:p>
            <w:r/>
            <w:r>
              <w:rPr>
                <w:b/>
                <w:color w:val="FFFFFF"/>
                <w:sz w:val="18"/>
              </w:rPr>
              <w:t>Owner</w:t>
            </w:r>
          </w:p>
        </w:tc>
        <w:tc>
          <w:tcPr>
            <w:tcW w:type="dxa" w:w="1872"/>
            <w:shd w:fill="1F497D" w:val="clear"/>
          </w:tcPr>
          <w:p>
            <w:r/>
            <w:r>
              <w:rPr>
                <w:b/>
                <w:color w:val="FFFFFF"/>
                <w:sz w:val="18"/>
              </w:rPr>
              <w:t>Status</w:t>
            </w:r>
          </w:p>
        </w:tc>
        <w:tc>
          <w:tcPr>
            <w:tcW w:type="dxa" w:w="1872"/>
            <w:shd w:fill="1F497D" w:val="clear"/>
          </w:tcPr>
          <w:p>
            <w:r/>
            <w:r>
              <w:rPr>
                <w:b/>
                <w:color w:val="FFFFFF"/>
                <w:sz w:val="18"/>
              </w:rPr>
              <w:t>Key Finding</w:t>
            </w:r>
          </w:p>
        </w:tc>
        <w:tc>
          <w:tcPr>
            <w:tcW w:type="dxa" w:w="1872"/>
            <w:shd w:fill="1F497D" w:val="clear"/>
          </w:tcPr>
          <w:p>
            <w:r/>
            <w:r>
              <w:rPr>
                <w:b/>
                <w:color w:val="FFFFFF"/>
                <w:sz w:val="18"/>
              </w:rPr>
              <w:t>Paper-Ready?</w:t>
            </w:r>
          </w:p>
        </w:tc>
      </w:tr>
      <w:tr>
        <w:tc>
          <w:tcPr>
            <w:tcW w:type="dxa" w:w="1872"/>
          </w:tcPr>
          <w:p>
            <w:r/>
            <w:r>
              <w:rPr>
                <w:sz w:val="16"/>
              </w:rPr>
              <w:t>crypto.py</w:t>
            </w:r>
          </w:p>
        </w:tc>
        <w:tc>
          <w:tcPr>
            <w:tcW w:type="dxa" w:w="1872"/>
          </w:tcPr>
          <w:p>
            <w:r/>
            <w:r>
              <w:rPr>
                <w:sz w:val="16"/>
              </w:rPr>
              <w:t>Sanjay</w:t>
            </w:r>
          </w:p>
        </w:tc>
        <w:tc>
          <w:tcPr>
            <w:tcW w:type="dxa" w:w="1872"/>
          </w:tcPr>
          <w:p>
            <w:r/>
            <w:r>
              <w:rPr>
                <w:b/>
                <w:color w:val="007000"/>
                <w:sz w:val="16"/>
              </w:rPr>
              <w:t>Complete</w:t>
            </w:r>
          </w:p>
        </w:tc>
        <w:tc>
          <w:tcPr>
            <w:tcW w:type="dxa" w:w="1872"/>
          </w:tcPr>
          <w:p>
            <w:r/>
            <w:r>
              <w:rPr>
                <w:sz w:val="16"/>
              </w:rPr>
              <w:t>AES-256-GCM, HMAC-SHA256, in-memory zeroing. 14/14 tests pass.</w:t>
            </w:r>
          </w:p>
        </w:tc>
        <w:tc>
          <w:tcPr>
            <w:tcW w:type="dxa" w:w="1872"/>
          </w:tcPr>
          <w:p>
            <w:r/>
            <w:r>
              <w:rPr>
                <w:b/>
                <w:color w:val="007000"/>
                <w:sz w:val="16"/>
              </w:rPr>
              <w:t>YES</w:t>
            </w:r>
          </w:p>
        </w:tc>
      </w:tr>
      <w:tr>
        <w:tc>
          <w:tcPr>
            <w:tcW w:type="dxa" w:w="1872"/>
          </w:tcPr>
          <w:p>
            <w:r/>
            <w:r>
              <w:rPr>
                <w:sz w:val="16"/>
              </w:rPr>
              <w:t>e7_temporal.py</w:t>
            </w:r>
          </w:p>
        </w:tc>
        <w:tc>
          <w:tcPr>
            <w:tcW w:type="dxa" w:w="1872"/>
          </w:tcPr>
          <w:p>
            <w:r/>
            <w:r>
              <w:rPr>
                <w:sz w:val="16"/>
              </w:rPr>
              <w:t>Sanjay</w:t>
            </w:r>
          </w:p>
        </w:tc>
        <w:tc>
          <w:tcPr>
            <w:tcW w:type="dxa" w:w="1872"/>
          </w:tcPr>
          <w:p>
            <w:r/>
            <w:r>
              <w:rPr>
                <w:b/>
                <w:color w:val="007000"/>
                <w:sz w:val="16"/>
              </w:rPr>
              <w:t>Complete</w:t>
            </w:r>
          </w:p>
        </w:tc>
        <w:tc>
          <w:tcPr>
            <w:tcW w:type="dxa" w:w="1872"/>
          </w:tcPr>
          <w:p>
            <w:r/>
            <w:r>
              <w:rPr>
                <w:sz w:val="16"/>
              </w:rPr>
              <w:t>Timestamp gate, replay ledger, audit log. All temporal tests pass.</w:t>
            </w:r>
          </w:p>
        </w:tc>
        <w:tc>
          <w:tcPr>
            <w:tcW w:type="dxa" w:w="1872"/>
          </w:tcPr>
          <w:p>
            <w:r/>
            <w:r>
              <w:rPr>
                <w:b/>
                <w:color w:val="007000"/>
                <w:sz w:val="16"/>
              </w:rPr>
              <w:t>YES</w:t>
            </w:r>
          </w:p>
        </w:tc>
      </w:tr>
      <w:tr>
        <w:tc>
          <w:tcPr>
            <w:tcW w:type="dxa" w:w="1872"/>
          </w:tcPr>
          <w:p>
            <w:r/>
            <w:r>
              <w:rPr>
                <w:sz w:val="16"/>
              </w:rPr>
              <w:t>scripts/sanitize.py</w:t>
            </w:r>
          </w:p>
        </w:tc>
        <w:tc>
          <w:tcPr>
            <w:tcW w:type="dxa" w:w="1872"/>
          </w:tcPr>
          <w:p>
            <w:r/>
            <w:r>
              <w:rPr>
                <w:sz w:val="16"/>
              </w:rPr>
              <w:t>Sameer</w:t>
            </w:r>
          </w:p>
        </w:tc>
        <w:tc>
          <w:tcPr>
            <w:tcW w:type="dxa" w:w="1872"/>
          </w:tcPr>
          <w:p>
            <w:r/>
            <w:r>
              <w:rPr>
                <w:b/>
                <w:color w:val="007000"/>
                <w:sz w:val="16"/>
              </w:rPr>
              <w:t>Complete</w:t>
            </w:r>
          </w:p>
        </w:tc>
        <w:tc>
          <w:tcPr>
            <w:tcW w:type="dxa" w:w="1872"/>
          </w:tcPr>
          <w:p>
            <w:r/>
            <w:r>
              <w:rPr>
                <w:sz w:val="16"/>
              </w:rPr>
              <w:t>EXIF strip, CLAHE, Telea inpainting, 5% rejection.</w:t>
            </w:r>
          </w:p>
        </w:tc>
        <w:tc>
          <w:tcPr>
            <w:tcW w:type="dxa" w:w="1872"/>
          </w:tcPr>
          <w:p>
            <w:r/>
            <w:r>
              <w:rPr>
                <w:b/>
                <w:color w:val="007000"/>
                <w:sz w:val="16"/>
              </w:rPr>
              <w:t>YES</w:t>
            </w:r>
          </w:p>
        </w:tc>
      </w:tr>
      <w:tr>
        <w:tc>
          <w:tcPr>
            <w:tcW w:type="dxa" w:w="1872"/>
          </w:tcPr>
          <w:p>
            <w:r/>
            <w:r>
              <w:rPr>
                <w:sz w:val="16"/>
              </w:rPr>
              <w:t>model.py / losses.py</w:t>
            </w:r>
          </w:p>
        </w:tc>
        <w:tc>
          <w:tcPr>
            <w:tcW w:type="dxa" w:w="1872"/>
          </w:tcPr>
          <w:p>
            <w:r/>
            <w:r>
              <w:rPr>
                <w:sz w:val="16"/>
              </w:rPr>
              <w:t>Sameer</w:t>
            </w:r>
          </w:p>
        </w:tc>
        <w:tc>
          <w:tcPr>
            <w:tcW w:type="dxa" w:w="1872"/>
          </w:tcPr>
          <w:p>
            <w:r/>
            <w:r>
              <w:rPr>
                <w:b/>
                <w:color w:val="007000"/>
                <w:sz w:val="16"/>
              </w:rPr>
              <w:t>Complete</w:t>
            </w:r>
          </w:p>
        </w:tc>
        <w:tc>
          <w:tcPr>
            <w:tcW w:type="dxa" w:w="1872"/>
          </w:tcPr>
          <w:p>
            <w:r/>
            <w:r>
              <w:rPr>
                <w:sz w:val="16"/>
              </w:rPr>
              <w:t>ResUNet++ 6.59M params, ASPP, SE, MC Dropout, DiceBCE.</w:t>
            </w:r>
          </w:p>
        </w:tc>
        <w:tc>
          <w:tcPr>
            <w:tcW w:type="dxa" w:w="1872"/>
          </w:tcPr>
          <w:p>
            <w:r/>
            <w:r>
              <w:rPr>
                <w:b/>
                <w:color w:val="007000"/>
                <w:sz w:val="16"/>
              </w:rPr>
              <w:t>YES</w:t>
            </w:r>
          </w:p>
        </w:tc>
      </w:tr>
      <w:tr>
        <w:tc>
          <w:tcPr>
            <w:tcW w:type="dxa" w:w="1872"/>
          </w:tcPr>
          <w:p>
            <w:r/>
            <w:r>
              <w:rPr>
                <w:sz w:val="16"/>
              </w:rPr>
              <w:t>e8_server.py</w:t>
            </w:r>
          </w:p>
        </w:tc>
        <w:tc>
          <w:tcPr>
            <w:tcW w:type="dxa" w:w="1872"/>
          </w:tcPr>
          <w:p>
            <w:r/>
            <w:r>
              <w:rPr>
                <w:sz w:val="16"/>
              </w:rPr>
              <w:t>Shared</w:t>
            </w:r>
          </w:p>
        </w:tc>
        <w:tc>
          <w:tcPr>
            <w:tcW w:type="dxa" w:w="1872"/>
          </w:tcPr>
          <w:p>
            <w:r/>
            <w:r>
              <w:rPr>
                <w:b/>
                <w:color w:val="007000"/>
                <w:sz w:val="16"/>
              </w:rPr>
              <w:t>Complete</w:t>
            </w:r>
          </w:p>
        </w:tc>
        <w:tc>
          <w:tcPr>
            <w:tcW w:type="dxa" w:w="1872"/>
          </w:tcPr>
          <w:p>
            <w:r/>
            <w:r>
              <w:rPr>
                <w:sz w:val="16"/>
              </w:rPr>
              <w:t>Full SDFL stack: DP-SGD+SecAgg+temporal over 20 rounds.</w:t>
            </w:r>
          </w:p>
        </w:tc>
        <w:tc>
          <w:tcPr>
            <w:tcW w:type="dxa" w:w="1872"/>
          </w:tcPr>
          <w:p>
            <w:r/>
            <w:r>
              <w:rPr>
                <w:b/>
                <w:color w:val="007000"/>
                <w:sz w:val="16"/>
              </w:rPr>
              <w:t>YES</w:t>
            </w:r>
          </w:p>
        </w:tc>
      </w:tr>
      <w:tr>
        <w:tc>
          <w:tcPr>
            <w:tcW w:type="dxa" w:w="1872"/>
          </w:tcPr>
          <w:p>
            <w:r/>
            <w:r>
              <w:rPr>
                <w:sz w:val="16"/>
              </w:rPr>
              <w:t>sdfl-demo/</w:t>
            </w:r>
          </w:p>
        </w:tc>
        <w:tc>
          <w:tcPr>
            <w:tcW w:type="dxa" w:w="1872"/>
          </w:tcPr>
          <w:p>
            <w:r/>
            <w:r>
              <w:rPr>
                <w:sz w:val="16"/>
              </w:rPr>
              <w:t>Sameer</w:t>
            </w:r>
          </w:p>
        </w:tc>
        <w:tc>
          <w:tcPr>
            <w:tcW w:type="dxa" w:w="1872"/>
          </w:tcPr>
          <w:p>
            <w:r/>
            <w:r>
              <w:rPr>
                <w:b/>
                <w:color w:val="007000"/>
                <w:sz w:val="16"/>
              </w:rPr>
              <w:t>Complete</w:t>
            </w:r>
          </w:p>
        </w:tc>
        <w:tc>
          <w:tcPr>
            <w:tcW w:type="dxa" w:w="1872"/>
          </w:tcPr>
          <w:p>
            <w:r/>
            <w:r>
              <w:rPr>
                <w:sz w:val="16"/>
              </w:rPr>
              <w:t>FastAPI, SQLite audit, real inference, threshold 0.00295.</w:t>
            </w:r>
          </w:p>
        </w:tc>
        <w:tc>
          <w:tcPr>
            <w:tcW w:type="dxa" w:w="1872"/>
          </w:tcPr>
          <w:p>
            <w:r/>
            <w:r>
              <w:rPr>
                <w:b/>
                <w:color w:val="007000"/>
                <w:sz w:val="16"/>
              </w:rPr>
              <w:t>YES</w:t>
            </w:r>
          </w:p>
        </w:tc>
      </w:tr>
      <w:tr>
        <w:tc>
          <w:tcPr>
            <w:tcW w:type="dxa" w:w="1872"/>
          </w:tcPr>
          <w:p>
            <w:r/>
            <w:r>
              <w:rPr>
                <w:sz w:val="16"/>
              </w:rPr>
              <w:t>E1-E3 Experiments</w:t>
            </w:r>
          </w:p>
        </w:tc>
        <w:tc>
          <w:tcPr>
            <w:tcW w:type="dxa" w:w="1872"/>
          </w:tcPr>
          <w:p>
            <w:r/>
            <w:r>
              <w:rPr>
                <w:sz w:val="16"/>
              </w:rPr>
              <w:t>Sameer/Mukesh</w:t>
            </w:r>
          </w:p>
        </w:tc>
        <w:tc>
          <w:tcPr>
            <w:tcW w:type="dxa" w:w="1872"/>
          </w:tcPr>
          <w:p>
            <w:r/>
            <w:r>
              <w:rPr>
                <w:b/>
                <w:color w:val="007000"/>
                <w:sz w:val="16"/>
              </w:rPr>
              <w:t>Complete</w:t>
            </w:r>
          </w:p>
        </w:tc>
        <w:tc>
          <w:tcPr>
            <w:tcW w:type="dxa" w:w="1872"/>
          </w:tcPr>
          <w:p>
            <w:r/>
            <w:r>
              <w:rPr>
                <w:sz w:val="16"/>
              </w:rPr>
              <w:t>Centralized 0.8182, FedAvg 0.7718, FedProx sweep.</w:t>
            </w:r>
          </w:p>
        </w:tc>
        <w:tc>
          <w:tcPr>
            <w:tcW w:type="dxa" w:w="1872"/>
          </w:tcPr>
          <w:p>
            <w:r/>
            <w:r>
              <w:rPr>
                <w:b/>
                <w:color w:val="007000"/>
                <w:sz w:val="16"/>
              </w:rPr>
              <w:t>YES</w:t>
            </w:r>
          </w:p>
        </w:tc>
      </w:tr>
      <w:tr>
        <w:tc>
          <w:tcPr>
            <w:tcW w:type="dxa" w:w="1872"/>
          </w:tcPr>
          <w:p>
            <w:r/>
            <w:r>
              <w:rPr>
                <w:sz w:val="16"/>
              </w:rPr>
              <w:t>E4-E8 Experiments</w:t>
            </w:r>
          </w:p>
        </w:tc>
        <w:tc>
          <w:tcPr>
            <w:tcW w:type="dxa" w:w="1872"/>
          </w:tcPr>
          <w:p>
            <w:r/>
            <w:r>
              <w:rPr>
                <w:sz w:val="16"/>
              </w:rPr>
              <w:t>Mukesh/Sanjay</w:t>
            </w:r>
          </w:p>
        </w:tc>
        <w:tc>
          <w:tcPr>
            <w:tcW w:type="dxa" w:w="1872"/>
          </w:tcPr>
          <w:p>
            <w:r/>
            <w:r>
              <w:rPr>
                <w:b/>
                <w:color w:val="007000"/>
                <w:sz w:val="16"/>
              </w:rPr>
              <w:t>Complete</w:t>
            </w:r>
          </w:p>
        </w:tc>
        <w:tc>
          <w:tcPr>
            <w:tcW w:type="dxa" w:w="1872"/>
          </w:tcPr>
          <w:p>
            <w:r/>
            <w:r>
              <w:rPr>
                <w:sz w:val="16"/>
              </w:rPr>
              <w:t>DP-SGD, SecAgg, temporal, full SDFL pipeline.</w:t>
            </w:r>
          </w:p>
        </w:tc>
        <w:tc>
          <w:tcPr>
            <w:tcW w:type="dxa" w:w="1872"/>
          </w:tcPr>
          <w:p>
            <w:r/>
            <w:r>
              <w:rPr>
                <w:b/>
                <w:color w:val="007000"/>
                <w:sz w:val="16"/>
              </w:rPr>
              <w:t>YES</w:t>
            </w:r>
          </w:p>
        </w:tc>
      </w:tr>
      <w:tr>
        <w:tc>
          <w:tcPr>
            <w:tcW w:type="dxa" w:w="1872"/>
          </w:tcPr>
          <w:p>
            <w:r/>
            <w:r>
              <w:rPr>
                <w:sz w:val="16"/>
              </w:rPr>
              <w:t>E9 Breach Attack</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0/5000 breaches. Disclose: synthetic tensors, A5 proxy, 0.3%/condition.</w:t>
            </w:r>
          </w:p>
        </w:tc>
        <w:tc>
          <w:tcPr>
            <w:tcW w:type="dxa" w:w="1872"/>
          </w:tcPr>
          <w:p>
            <w:r/>
            <w:r>
              <w:rPr>
                <w:b/>
                <w:color w:val="FF8C00"/>
                <w:sz w:val="16"/>
              </w:rPr>
              <w:t>YES (Disclosed)</w:t>
            </w:r>
          </w:p>
        </w:tc>
      </w:tr>
      <w:tr>
        <w:tc>
          <w:tcPr>
            <w:tcW w:type="dxa" w:w="1872"/>
          </w:tcPr>
          <w:p>
            <w:r/>
            <w:r>
              <w:rPr>
                <w:sz w:val="16"/>
              </w:rPr>
              <w:t>E9b Temporal Ablation</w:t>
            </w:r>
          </w:p>
        </w:tc>
        <w:tc>
          <w:tcPr>
            <w:tcW w:type="dxa" w:w="1872"/>
          </w:tcPr>
          <w:p>
            <w:r/>
            <w:r>
              <w:rPr>
                <w:sz w:val="16"/>
              </w:rPr>
              <w:t>Sanjay</w:t>
            </w:r>
          </w:p>
        </w:tc>
        <w:tc>
          <w:tcPr>
            <w:tcW w:type="dxa" w:w="1872"/>
          </w:tcPr>
          <w:p>
            <w:r/>
            <w:r>
              <w:rPr>
                <w:b/>
                <w:color w:val="007000"/>
                <w:sz w:val="16"/>
              </w:rPr>
              <w:t>Complete</w:t>
            </w:r>
          </w:p>
        </w:tc>
        <w:tc>
          <w:tcPr>
            <w:tcW w:type="dxa" w:w="1872"/>
          </w:tcPr>
          <w:p>
            <w:r/>
            <w:r>
              <w:rPr>
                <w:sz w:val="16"/>
              </w:rPr>
              <w:t>Row F breach=0.0. Disclose: utility constants pre-computed.</w:t>
            </w:r>
          </w:p>
        </w:tc>
        <w:tc>
          <w:tcPr>
            <w:tcW w:type="dxa" w:w="1872"/>
          </w:tcPr>
          <w:p>
            <w:r/>
            <w:r>
              <w:rPr>
                <w:b/>
                <w:color w:val="FF8C00"/>
                <w:sz w:val="16"/>
              </w:rPr>
              <w:t>YES (Disclosed)</w:t>
            </w:r>
          </w:p>
        </w:tc>
      </w:tr>
      <w:tr>
        <w:tc>
          <w:tcPr>
            <w:tcW w:type="dxa" w:w="1872"/>
          </w:tcPr>
          <w:p>
            <w:r/>
            <w:r>
              <w:rPr>
                <w:sz w:val="16"/>
              </w:rPr>
              <w:t>E10 Window Sweep</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Tr=120s gives 100% availability.</w:t>
            </w:r>
          </w:p>
        </w:tc>
        <w:tc>
          <w:tcPr>
            <w:tcW w:type="dxa" w:w="1872"/>
          </w:tcPr>
          <w:p>
            <w:r/>
            <w:r>
              <w:rPr>
                <w:b/>
                <w:color w:val="007000"/>
                <w:sz w:val="16"/>
              </w:rPr>
              <w:t>YES</w:t>
            </w:r>
          </w:p>
        </w:tc>
      </w:tr>
      <w:tr>
        <w:tc>
          <w:tcPr>
            <w:tcW w:type="dxa" w:w="1872"/>
          </w:tcPr>
          <w:p>
            <w:r/>
            <w:r>
              <w:rPr>
                <w:sz w:val="16"/>
              </w:rPr>
              <w:t>E11 DP Sweep</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eps=2.772 (q=8/262 CORRECTED). Disclose: mu_eff=0, warm-start scope.</w:t>
            </w:r>
          </w:p>
        </w:tc>
        <w:tc>
          <w:tcPr>
            <w:tcW w:type="dxa" w:w="1872"/>
          </w:tcPr>
          <w:p>
            <w:r/>
            <w:r>
              <w:rPr>
                <w:b/>
                <w:color w:val="FF8C00"/>
                <w:sz w:val="16"/>
              </w:rPr>
              <w:t>YES (Disclosed)</w:t>
            </w:r>
          </w:p>
        </w:tc>
      </w:tr>
      <w:tr>
        <w:tc>
          <w:tcPr>
            <w:tcW w:type="dxa" w:w="1872"/>
          </w:tcPr>
          <w:p>
            <w:r/>
            <w:r>
              <w:rPr>
                <w:sz w:val="16"/>
              </w:rPr>
              <w:t>E12 LOCO Ablation</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Macro Dice=0.2190. Disclose: plain FedAvg, synthetic splits.</w:t>
            </w:r>
          </w:p>
        </w:tc>
        <w:tc>
          <w:tcPr>
            <w:tcW w:type="dxa" w:w="1872"/>
          </w:tcPr>
          <w:p>
            <w:r/>
            <w:r>
              <w:rPr>
                <w:b/>
                <w:color w:val="FF8C00"/>
                <w:sz w:val="16"/>
              </w:rPr>
              <w:t>YES (Disclosed)</w:t>
            </w:r>
          </w:p>
        </w:tc>
      </w:tr>
      <w:tr>
        <w:tc>
          <w:tcPr>
            <w:tcW w:type="dxa" w:w="1872"/>
          </w:tcPr>
          <w:p>
            <w:r/>
            <w:r>
              <w:rPr>
                <w:sz w:val="16"/>
              </w:rPr>
              <w:t>E13 Test Variability</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5-seed 80% subsample. Disclose: fixed checkpoint eval not retraining.</w:t>
            </w:r>
          </w:p>
        </w:tc>
        <w:tc>
          <w:tcPr>
            <w:tcW w:type="dxa" w:w="1872"/>
          </w:tcPr>
          <w:p>
            <w:r/>
            <w:r>
              <w:rPr>
                <w:b/>
                <w:color w:val="FF8C00"/>
                <w:sz w:val="16"/>
              </w:rPr>
              <w:t>YES (Disclosed)</w:t>
            </w:r>
          </w:p>
        </w:tc>
      </w:tr>
      <w:tr>
        <w:tc>
          <w:tcPr>
            <w:tcW w:type="dxa" w:w="1872"/>
          </w:tcPr>
          <w:p>
            <w:r/>
            <w:r>
              <w:rPr>
                <w:sz w:val="16"/>
              </w:rPr>
              <w:t>E14 Scalability</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O(K) linear CONFIRMED. Hardware spec: AMD64 16-core documented.</w:t>
            </w:r>
          </w:p>
        </w:tc>
        <w:tc>
          <w:tcPr>
            <w:tcW w:type="dxa" w:w="1872"/>
          </w:tcPr>
          <w:p>
            <w:r/>
            <w:r>
              <w:rPr>
                <w:b/>
                <w:color w:val="007000"/>
                <w:sz w:val="16"/>
              </w:rPr>
              <w:t>YES</w:t>
            </w:r>
          </w:p>
        </w:tc>
      </w:tr>
      <w:tr>
        <w:tc>
          <w:tcPr>
            <w:tcW w:type="dxa" w:w="1872"/>
          </w:tcPr>
          <w:p>
            <w:r/>
            <w:r>
              <w:rPr>
                <w:sz w:val="16"/>
              </w:rPr>
              <w:t>E15 Fault Robustness</w:t>
            </w:r>
          </w:p>
        </w:tc>
        <w:tc>
          <w:tcPr>
            <w:tcW w:type="dxa" w:w="1872"/>
          </w:tcPr>
          <w:p>
            <w:r/>
            <w:r>
              <w:rPr>
                <w:sz w:val="16"/>
              </w:rPr>
              <w:t>Mukesh/Sameer</w:t>
            </w:r>
          </w:p>
        </w:tc>
        <w:tc>
          <w:tcPr>
            <w:tcW w:type="dxa" w:w="1872"/>
          </w:tcPr>
          <w:p>
            <w:r/>
            <w:r>
              <w:rPr>
                <w:b/>
                <w:color w:val="007000"/>
                <w:sz w:val="16"/>
              </w:rPr>
              <w:t>Complete</w:t>
            </w:r>
          </w:p>
        </w:tc>
        <w:tc>
          <w:tcPr>
            <w:tcW w:type="dxa" w:w="1872"/>
          </w:tcPr>
          <w:p>
            <w:r/>
            <w:r>
              <w:rPr>
                <w:sz w:val="16"/>
              </w:rPr>
              <w:t>10/10 fault scenarios passed.</w:t>
            </w:r>
          </w:p>
        </w:tc>
        <w:tc>
          <w:tcPr>
            <w:tcW w:type="dxa" w:w="1872"/>
          </w:tcPr>
          <w:p>
            <w:r/>
            <w:r>
              <w:rPr>
                <w:b/>
                <w:color w:val="007000"/>
                <w:sz w:val="16"/>
              </w:rPr>
              <w:t>YES</w:t>
            </w:r>
          </w:p>
        </w:tc>
      </w:tr>
      <w:tr>
        <w:tc>
          <w:tcPr>
            <w:tcW w:type="dxa" w:w="1872"/>
          </w:tcPr>
          <w:p>
            <w:r/>
            <w:r>
              <w:rPr>
                <w:sz w:val="16"/>
              </w:rPr>
              <w:t>E11_ACCOUNTING.md</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q=8/262 corrected. Paper statement updated. Warm-start disclosed.</w:t>
            </w:r>
          </w:p>
        </w:tc>
        <w:tc>
          <w:tcPr>
            <w:tcW w:type="dxa" w:w="1872"/>
          </w:tcPr>
          <w:p>
            <w:r/>
            <w:r>
              <w:rPr>
                <w:b/>
                <w:color w:val="007000"/>
                <w:sz w:val="16"/>
              </w:rPr>
              <w:t>YES</w:t>
            </w:r>
          </w:p>
        </w:tc>
      </w:tr>
      <w:tr>
        <w:tc>
          <w:tcPr>
            <w:tcW w:type="dxa" w:w="1872"/>
          </w:tcPr>
          <w:p>
            <w:r/>
            <w:r>
              <w:rPr>
                <w:sz w:val="16"/>
              </w:rPr>
              <w:t>EXPERIMENT_REGISTRY</w:t>
            </w:r>
          </w:p>
        </w:tc>
        <w:tc>
          <w:tcPr>
            <w:tcW w:type="dxa" w:w="1872"/>
          </w:tcPr>
          <w:p>
            <w:r/>
            <w:r>
              <w:rPr>
                <w:sz w:val="16"/>
              </w:rPr>
              <w:t>Mukesh</w:t>
            </w:r>
          </w:p>
        </w:tc>
        <w:tc>
          <w:tcPr>
            <w:tcW w:type="dxa" w:w="1872"/>
          </w:tcPr>
          <w:p>
            <w:r/>
            <w:r>
              <w:rPr>
                <w:b/>
                <w:color w:val="007000"/>
                <w:sz w:val="16"/>
              </w:rPr>
              <w:t>Complete</w:t>
            </w:r>
          </w:p>
        </w:tc>
        <w:tc>
          <w:tcPr>
            <w:tcW w:type="dxa" w:w="1872"/>
          </w:tcPr>
          <w:p>
            <w:r/>
            <w:r>
              <w:rPr>
                <w:sz w:val="16"/>
              </w:rPr>
              <w:t>All E1-E15 complete with owner, status, disclosures table.</w:t>
            </w:r>
          </w:p>
        </w:tc>
        <w:tc>
          <w:tcPr>
            <w:tcW w:type="dxa" w:w="1872"/>
          </w:tcPr>
          <w:p>
            <w:r/>
            <w:r>
              <w:rPr>
                <w:b/>
                <w:color w:val="007000"/>
                <w:sz w:val="16"/>
              </w:rPr>
              <w:t>YES</w:t>
            </w:r>
          </w:p>
        </w:tc>
      </w:tr>
    </w:tbl>
    <w:p>
      <w:r>
        <w:br w:type="page"/>
      </w:r>
    </w:p>
    <w:p>
      <w:pPr>
        <w:pStyle w:val="Heading1"/>
      </w:pPr>
      <w:r>
        <w:rPr>
          <w:color w:val="1F497D"/>
        </w:rPr>
        <w:t>5. REQUIRED DISCLOSURES IN MANUSCRIPT</w:t>
      </w:r>
    </w:p>
    <w:p>
      <w:r>
        <w:rPr>
          <w:b w:val="0"/>
          <w:i w:val="0"/>
          <w:sz w:val="20"/>
        </w:rPr>
        <w:t>Each row below represents a methodological boundary that peer reviewers in FL/DP will scrutinize. All must appear explicitly in the paper.</w:t>
      </w:r>
    </w:p>
    <w:p/>
    <w:tbl>
      <w:tblPr>
        <w:tblStyle w:val="TableGrid"/>
        <w:tblW w:type="auto" w:w="0"/>
        <w:tblLook w:firstColumn="1" w:firstRow="1" w:lastColumn="0" w:lastRow="0" w:noHBand="0" w:noVBand="1" w:val="04A0"/>
      </w:tblPr>
      <w:tblGrid>
        <w:gridCol w:w="3120"/>
        <w:gridCol w:w="3120"/>
        <w:gridCol w:w="3120"/>
      </w:tblGrid>
      <w:tr>
        <w:tc>
          <w:tcPr>
            <w:tcW w:type="dxa" w:w="3120"/>
            <w:shd w:fill="1F497D" w:val="clear"/>
          </w:tcPr>
          <w:p>
            <w:r/>
            <w:r>
              <w:rPr>
                <w:b/>
                <w:color w:val="FFFFFF"/>
                <w:sz w:val="18"/>
              </w:rPr>
              <w:t>Topic</w:t>
            </w:r>
          </w:p>
        </w:tc>
        <w:tc>
          <w:tcPr>
            <w:tcW w:type="dxa" w:w="3120"/>
            <w:shd w:fill="1F497D" w:val="clear"/>
          </w:tcPr>
          <w:p>
            <w:r/>
            <w:r>
              <w:rPr>
                <w:b/>
                <w:color w:val="FFFFFF"/>
                <w:sz w:val="18"/>
              </w:rPr>
              <w:t>Paper Section</w:t>
            </w:r>
          </w:p>
        </w:tc>
        <w:tc>
          <w:tcPr>
            <w:tcW w:type="dxa" w:w="3120"/>
            <w:shd w:fill="1F497D" w:val="clear"/>
          </w:tcPr>
          <w:p>
            <w:r/>
            <w:r>
              <w:rPr>
                <w:b/>
                <w:color w:val="FFFFFF"/>
                <w:sz w:val="18"/>
              </w:rPr>
              <w:t>Required Disclosure</w:t>
            </w:r>
          </w:p>
        </w:tc>
      </w:tr>
      <w:tr>
        <w:tc>
          <w:tcPr>
            <w:tcW w:type="dxa" w:w="3120"/>
          </w:tcPr>
          <w:p>
            <w:r/>
            <w:r>
              <w:rPr>
                <w:b/>
                <w:sz w:val="16"/>
              </w:rPr>
              <w:t>FedProx mu under Opacus</w:t>
            </w:r>
          </w:p>
        </w:tc>
        <w:tc>
          <w:tcPr>
            <w:tcW w:type="dxa" w:w="3120"/>
          </w:tcPr>
          <w:p>
            <w:r/>
            <w:r>
              <w:rPr>
                <w:sz w:val="16"/>
              </w:rPr>
              <w:t>Methods</w:t>
            </w:r>
          </w:p>
        </w:tc>
        <w:tc>
          <w:tcPr>
            <w:tcW w:type="dxa" w:w="3120"/>
          </w:tcPr>
          <w:p>
            <w:r/>
            <w:r>
              <w:rPr>
                <w:sz w:val="16"/>
              </w:rPr>
              <w:t>Opacus per-sample hooks overwrite w.grad during step(), discarding the proximal penalty. Effective mu = 0 in all DP stages (pure DP-FedAvg). Does not affect privacy accounting.</w:t>
            </w:r>
          </w:p>
        </w:tc>
      </w:tr>
      <w:tr>
        <w:tc>
          <w:tcPr>
            <w:tcW w:type="dxa" w:w="3120"/>
          </w:tcPr>
          <w:p>
            <w:r/>
            <w:r>
              <w:rPr>
                <w:b/>
                <w:sz w:val="16"/>
              </w:rPr>
              <w:t>epsilon = 2.772 Scope</w:t>
            </w:r>
          </w:p>
        </w:tc>
        <w:tc>
          <w:tcPr>
            <w:tcW w:type="dxa" w:w="3120"/>
          </w:tcPr>
          <w:p>
            <w:r/>
            <w:r>
              <w:rPr>
                <w:sz w:val="16"/>
              </w:rPr>
              <w:t>Methods / Experiments</w:t>
            </w:r>
          </w:p>
        </w:tc>
        <w:tc>
          <w:tcPr>
            <w:tcW w:type="dxa" w:w="3120"/>
          </w:tcPr>
          <w:p>
            <w:r/>
            <w:r>
              <w:rPr>
                <w:sz w:val="16"/>
              </w:rPr>
              <w:t>Bound applies to 20-round E8 phase only. sigma=1.5, C=2.0, q=8/262~0.031, 33 steps/round, Opacus RDP. Backbone warm-started from prior non-private exploration.</w:t>
            </w:r>
          </w:p>
        </w:tc>
      </w:tr>
      <w:tr>
        <w:tc>
          <w:tcPr>
            <w:tcW w:type="dxa" w:w="3120"/>
          </w:tcPr>
          <w:p>
            <w:r/>
            <w:r>
              <w:rPr>
                <w:b/>
                <w:sz w:val="16"/>
              </w:rPr>
              <w:t>E9 Attack Substrate</w:t>
            </w:r>
          </w:p>
        </w:tc>
        <w:tc>
          <w:tcPr>
            <w:tcW w:type="dxa" w:w="3120"/>
          </w:tcPr>
          <w:p>
            <w:r/>
            <w:r>
              <w:rPr>
                <w:sz w:val="16"/>
              </w:rPr>
              <w:t>Experiments</w:t>
            </w:r>
          </w:p>
        </w:tc>
        <w:tc>
          <w:tcPr>
            <w:tcW w:type="dxa" w:w="3120"/>
          </w:tcPr>
          <w:p>
            <w:r/>
            <w:r>
              <w:rPr>
                <w:sz w:val="16"/>
              </w:rPr>
              <w:t>Attacks use synthetic float32 tensors. A5 is a noisy-vector proxy. 0.3% Clopper-Pearson UB is per attack condition; five conditions are not pooled.</w:t>
            </w:r>
          </w:p>
        </w:tc>
      </w:tr>
      <w:tr>
        <w:tc>
          <w:tcPr>
            <w:tcW w:type="dxa" w:w="3120"/>
          </w:tcPr>
          <w:p>
            <w:r/>
            <w:r>
              <w:rPr>
                <w:b/>
                <w:sz w:val="16"/>
              </w:rPr>
              <w:t>E9b Utility Constants</w:t>
            </w:r>
          </w:p>
        </w:tc>
        <w:tc>
          <w:tcPr>
            <w:tcW w:type="dxa" w:w="3120"/>
          </w:tcPr>
          <w:p>
            <w:r/>
            <w:r>
              <w:rPr>
                <w:sz w:val="16"/>
              </w:rPr>
              <w:t>Experiments</w:t>
            </w:r>
          </w:p>
        </w:tc>
        <w:tc>
          <w:tcPr>
            <w:tcW w:type="dxa" w:w="3120"/>
          </w:tcPr>
          <w:p>
            <w:r/>
            <w:r>
              <w:rPr>
                <w:sz w:val="16"/>
              </w:rPr>
              <w:t>Dice/IoU for rows B-F are pre-computed reference values from E7/E8 campaign. Only security properties are empirically measured per row.</w:t>
            </w:r>
          </w:p>
        </w:tc>
      </w:tr>
      <w:tr>
        <w:tc>
          <w:tcPr>
            <w:tcW w:type="dxa" w:w="3120"/>
          </w:tcPr>
          <w:p>
            <w:r/>
            <w:r>
              <w:rPr>
                <w:b/>
                <w:sz w:val="16"/>
              </w:rPr>
              <w:t>E12 Client Scope</w:t>
            </w:r>
          </w:p>
        </w:tc>
        <w:tc>
          <w:tcPr>
            <w:tcW w:type="dxa" w:w="3120"/>
          </w:tcPr>
          <w:p>
            <w:r/>
            <w:r>
              <w:rPr>
                <w:sz w:val="16"/>
              </w:rPr>
              <w:t>Experiments</w:t>
            </w:r>
          </w:p>
        </w:tc>
        <w:tc>
          <w:tcPr>
            <w:tcW w:type="dxa" w:w="3120"/>
          </w:tcPr>
          <w:p>
            <w:r/>
            <w:r>
              <w:rPr>
                <w:sz w:val="16"/>
              </w:rPr>
              <w:t>Synthetic overlapping size-biased subsets of Kvasir-SEG, not independently collected hospital data. Results characterize within-dataset non-IID generalization.</w:t>
            </w:r>
          </w:p>
        </w:tc>
      </w:tr>
      <w:tr>
        <w:tc>
          <w:tcPr>
            <w:tcW w:type="dxa" w:w="3120"/>
          </w:tcPr>
          <w:p>
            <w:r/>
            <w:r>
              <w:rPr>
                <w:b/>
                <w:sz w:val="16"/>
              </w:rPr>
              <w:t>E13 Methodology</w:t>
            </w:r>
          </w:p>
        </w:tc>
        <w:tc>
          <w:tcPr>
            <w:tcW w:type="dxa" w:w="3120"/>
          </w:tcPr>
          <w:p>
            <w:r/>
            <w:r>
              <w:rPr>
                <w:sz w:val="16"/>
              </w:rPr>
              <w:t>Experiments</w:t>
            </w:r>
          </w:p>
        </w:tc>
        <w:tc>
          <w:tcPr>
            <w:tcW w:type="dxa" w:w="3120"/>
          </w:tcPr>
          <w:p>
            <w:r/>
            <w:r>
              <w:rPr>
                <w:sz w:val="16"/>
              </w:rPr>
              <w:t>Test-set sampling variance of fixed checkpoints across 5 seeds (80% subsample). Reports evaluation stability, not training variance across independent runs.</w:t>
            </w:r>
          </w:p>
        </w:tc>
      </w:tr>
      <w:tr>
        <w:tc>
          <w:tcPr>
            <w:tcW w:type="dxa" w:w="3120"/>
          </w:tcPr>
          <w:p>
            <w:r/>
            <w:r>
              <w:rPr>
                <w:b/>
                <w:sz w:val="16"/>
              </w:rPr>
              <w:t>E14 Latency Hardware</w:t>
            </w:r>
          </w:p>
        </w:tc>
        <w:tc>
          <w:tcPr>
            <w:tcW w:type="dxa" w:w="3120"/>
          </w:tcPr>
          <w:p>
            <w:r/>
            <w:r>
              <w:rPr>
                <w:sz w:val="16"/>
              </w:rPr>
              <w:t>Experiments</w:t>
            </w:r>
          </w:p>
        </w:tc>
        <w:tc>
          <w:tcPr>
            <w:tcW w:type="dxa" w:w="3120"/>
          </w:tcPr>
          <w:p>
            <w:r/>
            <w:r>
              <w:rPr>
                <w:sz w:val="16"/>
              </w:rPr>
              <w:t>AMD64 16-core CPU, 15.4 GB RAM, no GPU. Latency figures are hardware-dependent. Report O(K) linear scaling + communication/storage numbers (hardware-independent).</w:t>
            </w:r>
          </w:p>
        </w:tc>
      </w:tr>
    </w:tbl>
    <w:p>
      <w:r>
        <w:br w:type="page"/>
      </w:r>
    </w:p>
    <w:p>
      <w:pPr>
        <w:pStyle w:val="Heading1"/>
      </w:pPr>
      <w:r>
        <w:rPr>
          <w:color w:val="1F497D"/>
        </w:rPr>
        <w:t>6. STEP-BY-STEP SUBMISSION ROADMAP</w:t>
      </w:r>
    </w:p>
    <w:p>
      <w:r>
        <w:rPr>
          <w:b/>
          <w:color w:val="C00000"/>
          <w:sz w:val="22"/>
        </w:rPr>
        <w:t>PHASE 1 - Legal Gate (Do This First)</w:t>
      </w:r>
    </w:p>
    <w:p>
      <w:pPr>
        <w:pStyle w:val="ListNumber"/>
      </w:pPr>
      <w:r>
        <w:rPr>
          <w:sz w:val="20"/>
        </w:rPr>
        <w:t>Contact VIT Technology Transfer / IP Office immediately.</w:t>
      </w:r>
    </w:p>
    <w:p>
      <w:pPr>
        <w:pStyle w:val="ListNumber"/>
      </w:pPr>
      <w:r>
        <w:rPr>
          <w:sz w:val="20"/>
        </w:rPr>
        <w:t>Confirm Provisional Patent Application has been submitted to the Indian Patent Office (IPO).</w:t>
      </w:r>
    </w:p>
    <w:p>
      <w:pPr>
        <w:pStyle w:val="ListNumber"/>
      </w:pPr>
      <w:r>
        <w:rPr>
          <w:sz w:val="20"/>
        </w:rPr>
        <w:t>Obtain official Application Filing Number and date in writing.</w:t>
      </w:r>
    </w:p>
    <w:p>
      <w:pPr>
        <w:pStyle w:val="ListNumber"/>
      </w:pPr>
      <w:r>
        <w:rPr>
          <w:sz w:val="20"/>
        </w:rPr>
        <w:t>Only after receiving this confirmation, proceed to Phase 2.</w:t>
      </w:r>
    </w:p>
    <w:p/>
    <w:p>
      <w:r>
        <w:rPr>
          <w:b/>
          <w:color w:val="7F4F00"/>
          <w:sz w:val="22"/>
        </w:rPr>
        <w:t>PHASE 2 - Manuscript Corrections</w:t>
      </w:r>
    </w:p>
    <w:p>
      <w:pPr>
        <w:pStyle w:val="ListNumber"/>
      </w:pPr>
      <w:r>
        <w:rPr>
          <w:sz w:val="20"/>
        </w:rPr>
        <w:t>Add FedProx + Opacus disclosure paragraph in Methods / Implementation section.</w:t>
      </w:r>
    </w:p>
    <w:p>
      <w:pPr>
        <w:pStyle w:val="ListNumber"/>
      </w:pPr>
      <w:r>
        <w:rPr>
          <w:sz w:val="20"/>
        </w:rPr>
        <w:t>Correct privacy accounting: replace q = 0.013 (8/612) with q = 8/262 ~ 0.031 throughout.</w:t>
      </w:r>
    </w:p>
    <w:p>
      <w:pPr>
        <w:pStyle w:val="ListNumber"/>
      </w:pPr>
      <w:r>
        <w:rPr>
          <w:sz w:val="20"/>
        </w:rPr>
        <w:t>Scope epsilon = 2.772 explicitly to the 20-round E8 federated update phase.</w:t>
      </w:r>
    </w:p>
    <w:p>
      <w:pPr>
        <w:pStyle w:val="ListNumber"/>
      </w:pPr>
      <w:r>
        <w:rPr>
          <w:sz w:val="20"/>
        </w:rPr>
        <w:t>Report E14 as O(K) linear scaling with hardware context stated.</w:t>
      </w:r>
    </w:p>
    <w:p>
      <w:pPr>
        <w:pStyle w:val="ListNumber"/>
      </w:pPr>
      <w:r>
        <w:rPr>
          <w:sz w:val="20"/>
        </w:rPr>
        <w:t>Fill all red/[...] placeholders: authors, affiliations, funding, ethics, AI-use statement.</w:t>
      </w:r>
    </w:p>
    <w:p>
      <w:pPr>
        <w:pStyle w:val="ListNumber"/>
      </w:pPr>
      <w:r>
        <w:rPr>
          <w:sz w:val="20"/>
        </w:rPr>
        <w:t>Resolve Hasan &amp; Rahman (2025): access via VIT library or substitute accessible baseline.</w:t>
      </w:r>
    </w:p>
    <w:p/>
    <w:p>
      <w:r>
        <w:rPr>
          <w:b/>
          <w:color w:val="004F00"/>
          <w:sz w:val="22"/>
        </w:rPr>
        <w:t>PHASE 3 - Package Verification</w:t>
      </w:r>
    </w:p>
    <w:p>
      <w:pPr>
        <w:pStyle w:val="ListNumber"/>
      </w:pPr>
      <w:r>
        <w:rPr>
          <w:sz w:val="20"/>
        </w:rPr>
        <w:t>Run Turnitin / iThenticate. Target: overall &lt; 15%, per-source &lt; 1.5%.</w:t>
      </w:r>
    </w:p>
    <w:p>
      <w:pPr>
        <w:pStyle w:val="ListNumber"/>
      </w:pPr>
      <w:r>
        <w:rPr>
          <w:sz w:val="20"/>
        </w:rPr>
        <w:t>Compile overleaf.zip with pdfLaTeX. Verify 0 undefined references, 0 missing figures.</w:t>
      </w:r>
    </w:p>
    <w:p>
      <w:pPr>
        <w:pStyle w:val="ListNumber"/>
      </w:pPr>
      <w:r>
        <w:rPr>
          <w:sz w:val="20"/>
        </w:rPr>
        <w:t>Run scripts/verify_numbers.py to cross-check all 74 numerical values against result JSONs.</w:t>
      </w:r>
    </w:p>
    <w:p>
      <w:pPr>
        <w:pStyle w:val="ListNumber"/>
      </w:pPr>
      <w:r>
        <w:rPr>
          <w:sz w:val="20"/>
        </w:rPr>
        <w:t>Sanjay to merge mukesh/sdfl-completion into integration/sdfl-final-validation.</w:t>
      </w:r>
    </w:p>
    <w:p/>
    <w:p>
      <w:r>
        <w:rPr>
          <w:b/>
          <w:color w:val="1F497D"/>
          <w:sz w:val="22"/>
        </w:rPr>
        <w:t>PHASE 4 - Journal Submission</w:t>
      </w:r>
    </w:p>
    <w:p>
      <w:pPr>
        <w:pStyle w:val="ListNumber"/>
      </w:pPr>
      <w:r>
        <w:rPr>
          <w:sz w:val="20"/>
        </w:rPr>
        <w:t>Target: Computer Methods and Programs in Biomedicine (Elsevier) or IEEE JBHI.</w:t>
      </w:r>
    </w:p>
    <w:p>
      <w:pPr>
        <w:pStyle w:val="ListNumber"/>
      </w:pPr>
      <w:r>
        <w:rPr>
          <w:sz w:val="20"/>
        </w:rPr>
        <w:t>Prepare cover letter: emphasize temporal key destruction novelty, dual-dataset evaluation, patent pending.</w:t>
      </w:r>
    </w:p>
    <w:p>
      <w:pPr>
        <w:pStyle w:val="ListNumber"/>
      </w:pPr>
      <w:r>
        <w:rPr>
          <w:sz w:val="20"/>
        </w:rPr>
        <w:t>Upload via journal submission portal. Attach supplementary PDF.</w:t>
      </w:r>
    </w:p>
    <w:p>
      <w:pPr>
        <w:pStyle w:val="ListNumber"/>
      </w:pPr>
      <w:r>
        <w:rPr>
          <w:sz w:val="20"/>
        </w:rPr>
        <w:t>Notify full team of submission confirmation number.</w:t>
      </w:r>
    </w:p>
    <w:p/>
    <w:p>
      <w:r>
        <w:br w:type="page"/>
      </w:r>
    </w:p>
    <w:p>
      <w:pPr>
        <w:pStyle w:val="Heading1"/>
      </w:pPr>
      <w:r>
        <w:rPr>
          <w:color w:val="007000"/>
        </w:rPr>
        <w:t>7. WHAT IS ALREADY COMPLETE AND READY</w:t>
      </w:r>
    </w:p>
    <w:p>
      <w:r>
        <w:rPr>
          <w:b w:val="0"/>
          <w:i w:val="0"/>
          <w:sz w:val="20"/>
        </w:rPr>
        <w:t>17 major components and deliverables are complete, tested, and paper-ready:</w:t>
      </w:r>
    </w:p>
    <w:p/>
    <w:p>
      <w:pPr>
        <w:pStyle w:val="ListBullet"/>
      </w:pPr>
      <w:r>
        <w:rPr>
          <w:b/>
          <w:color w:val="007000"/>
          <w:sz w:val="20"/>
        </w:rPr>
        <w:t xml:space="preserve">Cryptographic Core (crypto.py): </w:t>
      </w:r>
      <w:r>
        <w:rPr>
          <w:sz w:val="20"/>
        </w:rPr>
        <w:t>AES-256-GCM, HMAC-SHA256, in-memory key zeroing. 14/14 unit tests pass.</w:t>
      </w:r>
    </w:p>
    <w:p>
      <w:pPr>
        <w:pStyle w:val="ListBullet"/>
      </w:pPr>
      <w:r>
        <w:rPr>
          <w:b/>
          <w:color w:val="007000"/>
          <w:sz w:val="20"/>
        </w:rPr>
        <w:t xml:space="preserve">Temporal Security (e7_temporal.py): </w:t>
      </w:r>
      <w:r>
        <w:rPr>
          <w:sz w:val="20"/>
        </w:rPr>
        <w:t>Timestamp gating, replay ledger, audit logging. All 7 protocol tests pass.</w:t>
      </w:r>
    </w:p>
    <w:p>
      <w:pPr>
        <w:pStyle w:val="ListBullet"/>
      </w:pPr>
      <w:r>
        <w:rPr>
          <w:b/>
          <w:color w:val="007000"/>
          <w:sz w:val="20"/>
        </w:rPr>
        <w:t xml:space="preserve">Segmentation Model (model.py): </w:t>
      </w:r>
      <w:r>
        <w:rPr>
          <w:sz w:val="20"/>
        </w:rPr>
        <w:t>ResUNet++ 6.59M params, ASPP, SE blocks, GroupNorm, MC Dropout uncertainty head.</w:t>
      </w:r>
    </w:p>
    <w:p>
      <w:pPr>
        <w:pStyle w:val="ListBullet"/>
      </w:pPr>
      <w:r>
        <w:rPr>
          <w:b/>
          <w:color w:val="007000"/>
          <w:sz w:val="20"/>
        </w:rPr>
        <w:t xml:space="preserve">PHI Sanitization (scripts/sanitize.py): </w:t>
      </w:r>
      <w:r>
        <w:rPr>
          <w:sz w:val="20"/>
        </w:rPr>
        <w:t>EXIF strip, CLAHE, Telea inpainting, 5% area rejection threshold.</w:t>
      </w:r>
    </w:p>
    <w:p>
      <w:pPr>
        <w:pStyle w:val="ListBullet"/>
      </w:pPr>
      <w:r>
        <w:rPr>
          <w:b/>
          <w:color w:val="007000"/>
          <w:sz w:val="20"/>
        </w:rPr>
        <w:t xml:space="preserve">Clinical Demo (sdfl-demo/): </w:t>
      </w:r>
      <w:r>
        <w:rPr>
          <w:sz w:val="20"/>
        </w:rPr>
        <w:t>FastAPI, SQLite audit trail, uncertainty reporting, threshold 0.00295.</w:t>
      </w:r>
    </w:p>
    <w:p>
      <w:pPr>
        <w:pStyle w:val="ListBullet"/>
      </w:pPr>
      <w:r>
        <w:rPr>
          <w:b/>
          <w:color w:val="007000"/>
          <w:sz w:val="20"/>
        </w:rPr>
        <w:t xml:space="preserve">E1-E8 Results: </w:t>
      </w:r>
      <w:r>
        <w:rPr>
          <w:sz w:val="20"/>
        </w:rPr>
        <w:t>Centralized 0.8182, FedAvg 0.7718, FedProx sweep, DP-SGD, SecAgg, temporal, Full SDFL.</w:t>
      </w:r>
    </w:p>
    <w:p>
      <w:pPr>
        <w:pStyle w:val="ListBullet"/>
      </w:pPr>
      <w:r>
        <w:rPr>
          <w:b/>
          <w:color w:val="007000"/>
          <w:sz w:val="20"/>
        </w:rPr>
        <w:t xml:space="preserve">E9 Breach Attack: </w:t>
      </w:r>
      <w:r>
        <w:rPr>
          <w:sz w:val="20"/>
        </w:rPr>
        <w:t>0/5000 attacks succeeded. Statistical bounds computed. Limitations disclosed.</w:t>
      </w:r>
    </w:p>
    <w:p>
      <w:pPr>
        <w:pStyle w:val="ListBullet"/>
      </w:pPr>
      <w:r>
        <w:rPr>
          <w:b/>
          <w:color w:val="007000"/>
          <w:sz w:val="20"/>
        </w:rPr>
        <w:t xml:space="preserve">E10 Window Sweep: </w:t>
      </w:r>
      <w:r>
        <w:rPr>
          <w:sz w:val="20"/>
        </w:rPr>
        <w:t>Tr=120s yields 100% round completion. Full parametric sweep done.</w:t>
      </w:r>
    </w:p>
    <w:p>
      <w:pPr>
        <w:pStyle w:val="ListBullet"/>
      </w:pPr>
      <w:r>
        <w:rPr>
          <w:b/>
          <w:color w:val="007000"/>
          <w:sz w:val="20"/>
        </w:rPr>
        <w:t xml:space="preserve">E11 Privacy-Utility: </w:t>
      </w:r>
      <w:r>
        <w:rPr>
          <w:sz w:val="20"/>
        </w:rPr>
        <w:t>Full sigma sweep. eps=2.772 authoritative (q=8/262 corrected).</w:t>
      </w:r>
    </w:p>
    <w:p>
      <w:pPr>
        <w:pStyle w:val="ListBullet"/>
      </w:pPr>
      <w:r>
        <w:rPr>
          <w:b/>
          <w:color w:val="007000"/>
          <w:sz w:val="20"/>
        </w:rPr>
        <w:t xml:space="preserve">E12 LOCO Ablation: </w:t>
      </w:r>
      <w:r>
        <w:rPr>
          <w:sz w:val="20"/>
        </w:rPr>
        <w:t>Macro Dice=0.2190. Zero-leakage asserted in code. Scope disclosed.</w:t>
      </w:r>
    </w:p>
    <w:p>
      <w:pPr>
        <w:pStyle w:val="ListBullet"/>
      </w:pPr>
      <w:r>
        <w:rPr>
          <w:b/>
          <w:color w:val="007000"/>
          <w:sz w:val="20"/>
        </w:rPr>
        <w:t xml:space="preserve">E13 Test Variability: </w:t>
      </w:r>
      <w:r>
        <w:rPr>
          <w:sz w:val="20"/>
        </w:rPr>
        <w:t>FedAvg 0.7698+-0.0026, SDFL 0.4341+-0.0164 (5 seeds, 80% subsample).</w:t>
      </w:r>
    </w:p>
    <w:p>
      <w:pPr>
        <w:pStyle w:val="ListBullet"/>
      </w:pPr>
      <w:r>
        <w:rPr>
          <w:b/>
          <w:color w:val="007000"/>
          <w:sz w:val="20"/>
        </w:rPr>
        <w:t xml:space="preserve">E14 Scalability: </w:t>
      </w:r>
      <w:r>
        <w:rPr>
          <w:sz w:val="20"/>
        </w:rPr>
        <w:t>O(K) linear scaling confirmed. Hardware spec documented. Run C authoritative.</w:t>
      </w:r>
    </w:p>
    <w:p>
      <w:pPr>
        <w:pStyle w:val="ListBullet"/>
      </w:pPr>
      <w:r>
        <w:rPr>
          <w:b/>
          <w:color w:val="007000"/>
          <w:sz w:val="20"/>
        </w:rPr>
        <w:t xml:space="preserve">E15 Fault Robustness: </w:t>
      </w:r>
      <w:r>
        <w:rPr>
          <w:sz w:val="20"/>
        </w:rPr>
        <w:t>10/10 fault and anomaly scenarios passed.</w:t>
      </w:r>
    </w:p>
    <w:p>
      <w:pPr>
        <w:pStyle w:val="ListBullet"/>
      </w:pPr>
      <w:r>
        <w:rPr>
          <w:b/>
          <w:color w:val="007000"/>
          <w:sz w:val="20"/>
        </w:rPr>
        <w:t xml:space="preserve">E11_ACCOUNTING.md: </w:t>
      </w:r>
      <w:r>
        <w:rPr>
          <w:sz w:val="20"/>
        </w:rPr>
        <w:t>Sampling rate corrected to q=8/262. eps=2.772046 reproduced.</w:t>
      </w:r>
    </w:p>
    <w:p>
      <w:pPr>
        <w:pStyle w:val="ListBullet"/>
      </w:pPr>
      <w:r>
        <w:rPr>
          <w:b/>
          <w:color w:val="007000"/>
          <w:sz w:val="20"/>
        </w:rPr>
        <w:t xml:space="preserve">scripts/privacy_accounting.py: </w:t>
      </w:r>
      <w:r>
        <w:rPr>
          <w:sz w:val="20"/>
        </w:rPr>
        <w:t>Defaults corrected to q=8/262, steps=33, clip=2.0.</w:t>
      </w:r>
    </w:p>
    <w:p>
      <w:pPr>
        <w:pStyle w:val="ListBullet"/>
      </w:pPr>
      <w:r>
        <w:rPr>
          <w:b/>
          <w:color w:val="007000"/>
          <w:sz w:val="20"/>
        </w:rPr>
        <w:t xml:space="preserve">EXPERIMENT_REGISTRY.md: </w:t>
      </w:r>
      <w:r>
        <w:rPr>
          <w:sz w:val="20"/>
        </w:rPr>
        <w:t>All E1-E15 complete with owners, status, disclosures.</w:t>
      </w:r>
    </w:p>
    <w:p>
      <w:pPr>
        <w:pStyle w:val="ListBullet"/>
      </w:pPr>
      <w:r>
        <w:rPr>
          <w:b/>
          <w:color w:val="007000"/>
          <w:sz w:val="20"/>
        </w:rPr>
        <w:t xml:space="preserve">Integration Smoke Tests: </w:t>
      </w:r>
      <w:r>
        <w:rPr>
          <w:sz w:val="20"/>
        </w:rPr>
        <w:t>Tier-1 (14/14 unit) and Tier-2 (end-to-end FL lifecycle) both pass.</w:t>
      </w:r>
    </w:p>
    <w:p/>
    <w:p>
      <w:r>
        <w:rPr>
          <w:b/>
          <w:color w:val="1F497D"/>
          <w:sz w:val="22"/>
        </w:rPr>
        <w:t>BOTTOM LINE: The experimental science, cryptographic system, and software implementation are complete and peer-review defensible. Resolve the 4 blockers in Section 2 in the order shown in Section 6 and this project is ready for journal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