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355"/>
          <w:sz w:val="60"/>
        </w:rPr>
        <w:t>SECURITY REVIEW</w:t>
      </w:r>
    </w:p>
    <w:p/>
    <w:p/>
    <w:p/>
    <w:p/>
    <w:p>
      <w:pPr>
        <w:jc w:val="center"/>
      </w:pPr>
      <w:r>
        <w:rPr>
          <w:color w:val="555555"/>
          <w:sz w:val="28"/>
        </w:rPr>
        <w:t>Presales Hub — AI-assisted proposal lifecycle platform</w:t>
      </w:r>
    </w:p>
    <w:p>
      <w:pPr>
        <w:jc w:val="center"/>
      </w:pPr>
      <w:r>
        <w:rPr>
          <w:i/>
          <w:color w:val="555555"/>
          <w:sz w:val="22"/>
        </w:rPr>
        <w:t>Confidential · Self-conducted security assessment</w:t>
      </w:r>
    </w:p>
    <w:p/>
    <w:p/>
    <w:p/>
    <w:p/>
    <w:p/>
    <w:p/>
    <w:p/>
    <w:p/>
    <w:p>
      <w:pPr>
        <w:jc w:val="center"/>
      </w:pPr>
      <w:r>
        <w:rPr>
          <w:sz w:val="21"/>
        </w:rPr>
        <w:t>Author: Sanjay R K Shetty    |    Version v1.0    |    04 June 2026</w:t>
      </w:r>
    </w:p>
    <w:p>
      <w:r>
        <w:br w:type="page"/>
      </w:r>
    </w:p>
    <w:p>
      <w:pPr>
        <w:pStyle w:val="Heading1"/>
      </w:pPr>
      <w:r>
        <w:rPr>
          <w:color w:val="1F3355"/>
        </w:rPr>
        <w:t>Document Control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1F3355"/>
          </w:tcPr>
          <w:p>
            <w:r>
              <w:rPr>
                <w:b/>
                <w:color w:val="FFFFFF"/>
              </w:rPr>
              <w:t>Version</w:t>
            </w:r>
          </w:p>
        </w:tc>
        <w:tc>
          <w:tcPr>
            <w:tcW w:type="dxa" w:w="2160"/>
            <w:shd w:val="clear" w:fill="1F3355"/>
          </w:tcPr>
          <w:p>
            <w:r>
              <w:rPr>
                <w:b/>
                <w:color w:val="FFFFFF"/>
              </w:rPr>
              <w:t>Date</w:t>
            </w:r>
          </w:p>
        </w:tc>
        <w:tc>
          <w:tcPr>
            <w:tcW w:type="dxa" w:w="2160"/>
            <w:shd w:val="clear" w:fill="1F3355"/>
          </w:tcPr>
          <w:p>
            <w:r>
              <w:rPr>
                <w:b/>
                <w:color w:val="FFFFFF"/>
              </w:rPr>
              <w:t>Author</w:t>
            </w:r>
          </w:p>
        </w:tc>
        <w:tc>
          <w:tcPr>
            <w:tcW w:type="dxa" w:w="2160"/>
            <w:shd w:val="clear" w:fill="1F3355"/>
          </w:tcPr>
          <w:p>
            <w:r>
              <w:rPr>
                <w:b/>
                <w:color w:val="FFFFFF"/>
              </w:rPr>
              <w:t>Description</w:t>
            </w:r>
          </w:p>
        </w:tc>
      </w:tr>
      <w:tr>
        <w:tc>
          <w:tcPr>
            <w:tcW w:type="dxa" w:w="2160"/>
          </w:tcPr>
          <w:p>
            <w:r>
              <w:t>v1.0</w:t>
            </w:r>
          </w:p>
        </w:tc>
        <w:tc>
          <w:tcPr>
            <w:tcW w:type="dxa" w:w="2160"/>
          </w:tcPr>
          <w:p>
            <w:r>
              <w:t>2026-06-04</w:t>
            </w:r>
          </w:p>
        </w:tc>
        <w:tc>
          <w:tcPr>
            <w:tcW w:type="dxa" w:w="2160"/>
          </w:tcPr>
          <w:p>
            <w:r>
              <w:t>Sanjay R K Shetty</w:t>
            </w:r>
          </w:p>
        </w:tc>
        <w:tc>
          <w:tcPr>
            <w:tcW w:type="dxa" w:w="2160"/>
          </w:tcPr>
          <w:p>
            <w:r>
              <w:t>Initial security review report</w:t>
            </w:r>
          </w:p>
        </w:tc>
      </w:tr>
    </w:tbl>
    <w:p/>
    <w:p>
      <w:pPr>
        <w:pStyle w:val="Heading1"/>
      </w:pPr>
      <w:r>
        <w:rPr>
          <w:color w:val="1F3355"/>
        </w:rPr>
        <w:t>1. Executive Summary</w:t>
      </w:r>
    </w:p>
    <w:p>
      <w:pPr>
        <w:spacing w:after="160"/>
      </w:pPr>
      <w:r>
        <w:rPr>
          <w:sz w:val="21"/>
        </w:rPr>
        <w:t>Presales Hub is an internally built, AI-assisted platform that carries a sales proposal through its full lifecycle, with a durable workflow engine and an AI copilot. This report documents a self-conducted security and quality review of the platform, performed as a structured red-team-style exercise against the reviewer's own code.</w:t>
      </w:r>
    </w:p>
    <w:p>
      <w:pPr>
        <w:spacing w:after="160"/>
      </w:pPr>
      <w:r>
        <w:rPr>
          <w:sz w:val="21"/>
        </w:rPr>
        <w:t>Verdict: the platform is a sound, durable workflow engine wrapped in a weak integration and enforcement layer. The core lifecycle is correct and resilient, but the surfaces around it repeatedly fail to enforce their own rules.</w:t>
      </w:r>
    </w:p>
    <w:p>
      <w:pPr>
        <w:spacing w:after="160"/>
      </w:pPr>
      <w:r>
        <w:rPr>
          <w:sz w:val="21"/>
        </w:rPr>
        <w:t>A single root cause explains the majority of findings: the system trusts the client and rarely enforces its invariants on the server, while the backend often does not serve or validate exactly what the user interface assumes. This manifests as missing authorization, an unenforced state machine, and pervasive contract drift between frontend and backend.</w:t>
      </w:r>
    </w:p>
    <w:p>
      <w:pPr>
        <w:spacing w:after="160"/>
      </w:pPr>
      <w:r>
        <w:rPr>
          <w:sz w:val="21"/>
        </w:rPr>
        <w:t>Twenty-five distinct findings were recorded: one Critical and several High-severity issues (authorization not enforced, the approval workflow gate disconnected, the AI subsystem inoperative, and stage transitions unvalidated), alongside a long tail of Medium and Low issues. Several Critical/High issues identified earlier in the review have already been remediated and re-verified.</w:t>
      </w:r>
    </w:p>
    <w:p>
      <w:pPr>
        <w:pStyle w:val="Heading1"/>
      </w:pPr>
      <w:r>
        <w:rPr>
          <w:color w:val="1F3355"/>
        </w:rPr>
        <w:t>2. Scope &amp; Methodology</w:t>
      </w:r>
    </w:p>
    <w:p>
      <w:pPr>
        <w:spacing w:after="160"/>
      </w:pPr>
      <w:r>
        <w:rPr>
          <w:sz w:val="21"/>
        </w:rPr>
        <w:t>Scope: the full application — its HTTP API, durable workflow engine, authentication and authorization, AI copilot and agent subsystems, analytics, and administrative surfaces. The assessment used demonstration/seed data only; no real customer data was involved.</w:t>
      </w:r>
    </w:p>
    <w:p>
      <w:pPr>
        <w:spacing w:after="160"/>
      </w:pPr>
      <w:r>
        <w:rPr>
          <w:sz w:val="21"/>
        </w:rPr>
        <w:t>Method: a structured twelve-area smoke test combining three techniques — (1) agent-driven browser testing, in which the reviewer drove an instrumented browser to exercise each surface end-to-end and capture network traffic, console output and screenshots; (2) source-code review to establish root cause; and (3) authenticated API testing to confirm behaviour and demonstrate exploitability. Findings are evidence-backed and reproducible.</w:t>
      </w:r>
    </w:p>
    <w:p>
      <w:pPr>
        <w:spacing w:after="160"/>
      </w:pPr>
      <w:r>
        <w:rPr>
          <w:sz w:val="21"/>
        </w:rPr>
        <w:t>Out of scope: infrastructure penetration testing, dependency/CVE scanning, and load testing.</w:t>
      </w:r>
    </w:p>
    <w:p>
      <w:pPr>
        <w:pStyle w:val="Heading1"/>
      </w:pPr>
      <w:r>
        <w:rPr>
          <w:color w:val="1F3355"/>
        </w:rPr>
        <w:t>3. Findings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1F3355"/>
          </w:tcPr>
          <w:p>
            <w:r>
              <w:rPr>
                <w:b/>
                <w:color w:val="FFFFFF"/>
                <w:sz w:val="18"/>
              </w:rPr>
              <w:t>ID</w:t>
            </w:r>
          </w:p>
        </w:tc>
        <w:tc>
          <w:tcPr>
            <w:tcW w:type="dxa" w:w="2160"/>
            <w:shd w:val="clear" w:fill="1F3355"/>
          </w:tcPr>
          <w:p>
            <w:r>
              <w:rPr>
                <w:b/>
                <w:color w:val="FFFFFF"/>
                <w:sz w:val="18"/>
              </w:rPr>
              <w:t>Finding</w:t>
            </w:r>
          </w:p>
        </w:tc>
        <w:tc>
          <w:tcPr>
            <w:tcW w:type="dxa" w:w="2160"/>
            <w:shd w:val="clear" w:fill="1F3355"/>
          </w:tcPr>
          <w:p>
            <w:r>
              <w:rPr>
                <w:b/>
                <w:color w:val="FFFFFF"/>
                <w:sz w:val="18"/>
              </w:rPr>
              <w:t>Severity</w:t>
            </w:r>
          </w:p>
        </w:tc>
        <w:tc>
          <w:tcPr>
            <w:tcW w:type="dxa" w:w="2160"/>
            <w:shd w:val="clear" w:fill="1F3355"/>
          </w:tcPr>
          <w:p>
            <w:r>
              <w:rPr>
                <w:b/>
                <w:color w:val="FFFFFF"/>
                <w:sz w:val="18"/>
              </w:rPr>
              <w:t>Status</w:t>
            </w:r>
          </w:p>
        </w:tc>
      </w:tr>
      <w:tr>
        <w:tc>
          <w:tcPr>
            <w:tcW w:type="dxa" w:w="2160"/>
          </w:tcPr>
          <w:p>
            <w:r>
              <w:rPr>
                <w:sz w:val="18"/>
              </w:rPr>
              <w:t>F-01</w:t>
            </w:r>
          </w:p>
        </w:tc>
        <w:tc>
          <w:tcPr>
            <w:tcW w:type="dxa" w:w="2160"/>
          </w:tcPr>
          <w:p>
            <w:r>
              <w:rPr>
                <w:sz w:val="18"/>
              </w:rPr>
              <w:t>Unauthenticated API surface (no auth dependency on routers)</w:t>
            </w:r>
          </w:p>
        </w:tc>
        <w:tc>
          <w:tcPr>
            <w:tcW w:type="dxa" w:w="2160"/>
          </w:tcPr>
          <w:p>
            <w:r>
              <w:rPr>
                <w:b/>
                <w:color w:val="B02A2A"/>
                <w:sz w:val="18"/>
              </w:rPr>
              <w:t>Critical</w:t>
            </w:r>
          </w:p>
        </w:tc>
        <w:tc>
          <w:tcPr>
            <w:tcW w:type="dxa" w:w="2160"/>
          </w:tcPr>
          <w:p>
            <w:r>
              <w:rPr>
                <w:sz w:val="18"/>
              </w:rPr>
              <w:t>Fixed</w:t>
            </w:r>
          </w:p>
        </w:tc>
      </w:tr>
      <w:tr>
        <w:tc>
          <w:tcPr>
            <w:tcW w:type="dxa" w:w="2160"/>
          </w:tcPr>
          <w:p>
            <w:r>
              <w:rPr>
                <w:sz w:val="18"/>
              </w:rPr>
              <w:t>F-02</w:t>
            </w:r>
          </w:p>
        </w:tc>
        <w:tc>
          <w:tcPr>
            <w:tcW w:type="dxa" w:w="2160"/>
          </w:tcPr>
          <w:p>
            <w:r>
              <w:rPr>
                <w:sz w:val="18"/>
              </w:rPr>
              <w:t>Broken browser auth flow (refresh cookie / WS / reload bounce)</w:t>
            </w:r>
          </w:p>
        </w:tc>
        <w:tc>
          <w:tcPr>
            <w:tcW w:type="dxa" w:w="2160"/>
          </w:tcPr>
          <w:p>
            <w:r>
              <w:rPr>
                <w:b/>
                <w:color w:val="B02A2A"/>
                <w:sz w:val="18"/>
              </w:rPr>
              <w:t>High</w:t>
            </w:r>
          </w:p>
        </w:tc>
        <w:tc>
          <w:tcPr>
            <w:tcW w:type="dxa" w:w="2160"/>
          </w:tcPr>
          <w:p>
            <w:r>
              <w:rPr>
                <w:sz w:val="18"/>
              </w:rPr>
              <w:t>Fixed</w:t>
            </w:r>
          </w:p>
        </w:tc>
      </w:tr>
      <w:tr>
        <w:tc>
          <w:tcPr>
            <w:tcW w:type="dxa" w:w="2160"/>
          </w:tcPr>
          <w:p>
            <w:r>
              <w:rPr>
                <w:sz w:val="18"/>
              </w:rPr>
              <w:t>F-03</w:t>
            </w:r>
          </w:p>
        </w:tc>
        <w:tc>
          <w:tcPr>
            <w:tcW w:type="dxa" w:w="2160"/>
          </w:tcPr>
          <w:p>
            <w:r>
              <w:rPr>
                <w:sz w:val="18"/>
              </w:rPr>
              <w:t>Authorization not enforced — RBAC dead code (privilege escalation)</w:t>
            </w:r>
          </w:p>
        </w:tc>
        <w:tc>
          <w:tcPr>
            <w:tcW w:type="dxa" w:w="2160"/>
          </w:tcPr>
          <w:p>
            <w:r>
              <w:rPr>
                <w:b/>
                <w:color w:val="B02A2A"/>
                <w:sz w:val="18"/>
              </w:rPr>
              <w:t>High</w:t>
            </w:r>
          </w:p>
        </w:tc>
        <w:tc>
          <w:tcPr>
            <w:tcW w:type="dxa" w:w="2160"/>
          </w:tcPr>
          <w:p>
            <w:r>
              <w:rPr>
                <w:sz w:val="18"/>
              </w:rPr>
              <w:t>Open</w:t>
            </w:r>
          </w:p>
        </w:tc>
      </w:tr>
      <w:tr>
        <w:tc>
          <w:tcPr>
            <w:tcW w:type="dxa" w:w="2160"/>
          </w:tcPr>
          <w:p>
            <w:r>
              <w:rPr>
                <w:sz w:val="18"/>
              </w:rPr>
              <w:t>F-04</w:t>
            </w:r>
          </w:p>
        </w:tc>
        <w:tc>
          <w:tcPr>
            <w:tcW w:type="dxa" w:w="2160"/>
          </w:tcPr>
          <w:p>
            <w:r>
              <w:rPr>
                <w:sz w:val="18"/>
              </w:rPr>
              <w:t>Sidebar navigation not role-gated</w:t>
            </w:r>
          </w:p>
        </w:tc>
        <w:tc>
          <w:tcPr>
            <w:tcW w:type="dxa" w:w="2160"/>
          </w:tcPr>
          <w:p>
            <w:r>
              <w:rPr>
                <w:b/>
                <w:color w:val="B76E00"/>
                <w:sz w:val="18"/>
              </w:rPr>
              <w:t>Medium</w:t>
            </w:r>
          </w:p>
        </w:tc>
        <w:tc>
          <w:tcPr>
            <w:tcW w:type="dxa" w:w="2160"/>
          </w:tcPr>
          <w:p>
            <w:r>
              <w:rPr>
                <w:sz w:val="18"/>
              </w:rPr>
              <w:t>Open</w:t>
            </w:r>
          </w:p>
        </w:tc>
      </w:tr>
      <w:tr>
        <w:tc>
          <w:tcPr>
            <w:tcW w:type="dxa" w:w="2160"/>
          </w:tcPr>
          <w:p>
            <w:r>
              <w:rPr>
                <w:sz w:val="18"/>
              </w:rPr>
              <w:t>F-05</w:t>
            </w:r>
          </w:p>
        </w:tc>
        <w:tc>
          <w:tcPr>
            <w:tcW w:type="dxa" w:w="2160"/>
          </w:tcPr>
          <w:p>
            <w:r>
              <w:rPr>
                <w:sz w:val="18"/>
              </w:rPr>
              <w:t>Approval decisions never signal the review workflow</w:t>
            </w:r>
          </w:p>
        </w:tc>
        <w:tc>
          <w:tcPr>
            <w:tcW w:type="dxa" w:w="2160"/>
          </w:tcPr>
          <w:p>
            <w:r>
              <w:rPr>
                <w:b/>
                <w:color w:val="B02A2A"/>
                <w:sz w:val="18"/>
              </w:rPr>
              <w:t>High</w:t>
            </w:r>
          </w:p>
        </w:tc>
        <w:tc>
          <w:tcPr>
            <w:tcW w:type="dxa" w:w="2160"/>
          </w:tcPr>
          <w:p>
            <w:r>
              <w:rPr>
                <w:sz w:val="18"/>
              </w:rPr>
              <w:t>Open</w:t>
            </w:r>
          </w:p>
        </w:tc>
      </w:tr>
      <w:tr>
        <w:tc>
          <w:tcPr>
            <w:tcW w:type="dxa" w:w="2160"/>
          </w:tcPr>
          <w:p>
            <w:r>
              <w:rPr>
                <w:sz w:val="18"/>
              </w:rPr>
              <w:t>F-06</w:t>
            </w:r>
          </w:p>
        </w:tc>
        <w:tc>
          <w:tcPr>
            <w:tcW w:type="dxa" w:w="2160"/>
          </w:tcPr>
          <w:p>
            <w:r>
              <w:rPr>
                <w:sz w:val="18"/>
              </w:rPr>
              <w:t>No server-side stage-transition validation</w:t>
            </w:r>
          </w:p>
        </w:tc>
        <w:tc>
          <w:tcPr>
            <w:tcW w:type="dxa" w:w="2160"/>
          </w:tcPr>
          <w:p>
            <w:r>
              <w:rPr>
                <w:b/>
                <w:color w:val="B02A2A"/>
                <w:sz w:val="18"/>
              </w:rPr>
              <w:t>High</w:t>
            </w:r>
          </w:p>
        </w:tc>
        <w:tc>
          <w:tcPr>
            <w:tcW w:type="dxa" w:w="2160"/>
          </w:tcPr>
          <w:p>
            <w:r>
              <w:rPr>
                <w:sz w:val="18"/>
              </w:rPr>
              <w:t>Open</w:t>
            </w:r>
          </w:p>
        </w:tc>
      </w:tr>
      <w:tr>
        <w:tc>
          <w:tcPr>
            <w:tcW w:type="dxa" w:w="2160"/>
          </w:tcPr>
          <w:p>
            <w:r>
              <w:rPr>
                <w:sz w:val="18"/>
              </w:rPr>
              <w:t>F-07</w:t>
            </w:r>
          </w:p>
        </w:tc>
        <w:tc>
          <w:tcPr>
            <w:tcW w:type="dxa" w:w="2160"/>
          </w:tcPr>
          <w:p>
            <w:r>
              <w:rPr>
                <w:sz w:val="18"/>
              </w:rPr>
              <w:t>Workflow panel does not refresh after a transition</w:t>
            </w:r>
          </w:p>
        </w:tc>
        <w:tc>
          <w:tcPr>
            <w:tcW w:type="dxa" w:w="2160"/>
          </w:tcPr>
          <w:p>
            <w:r>
              <w:rPr>
                <w:b/>
                <w:color w:val="B76E00"/>
                <w:sz w:val="18"/>
              </w:rPr>
              <w:t>Medium</w:t>
            </w:r>
          </w:p>
        </w:tc>
        <w:tc>
          <w:tcPr>
            <w:tcW w:type="dxa" w:w="2160"/>
          </w:tcPr>
          <w:p>
            <w:r>
              <w:rPr>
                <w:sz w:val="18"/>
              </w:rPr>
              <w:t>Open</w:t>
            </w:r>
          </w:p>
        </w:tc>
      </w:tr>
      <w:tr>
        <w:tc>
          <w:tcPr>
            <w:tcW w:type="dxa" w:w="2160"/>
          </w:tcPr>
          <w:p>
            <w:r>
              <w:rPr>
                <w:sz w:val="18"/>
              </w:rPr>
              <w:t>F-08</w:t>
            </w:r>
          </w:p>
        </w:tc>
        <w:tc>
          <w:tcPr>
            <w:tcW w:type="dxa" w:w="2160"/>
          </w:tcPr>
          <w:p>
            <w:r>
              <w:rPr>
                <w:sz w:val="18"/>
              </w:rPr>
              <w:t>Parallel-review UX / state not surfaced</w:t>
            </w:r>
          </w:p>
        </w:tc>
        <w:tc>
          <w:tcPr>
            <w:tcW w:type="dxa" w:w="2160"/>
          </w:tcPr>
          <w:p>
            <w:r>
              <w:rPr>
                <w:b/>
                <w:color w:val="B76E00"/>
                <w:sz w:val="18"/>
              </w:rPr>
              <w:t>Medium</w:t>
            </w:r>
          </w:p>
        </w:tc>
        <w:tc>
          <w:tcPr>
            <w:tcW w:type="dxa" w:w="2160"/>
          </w:tcPr>
          <w:p>
            <w:r>
              <w:rPr>
                <w:sz w:val="18"/>
              </w:rPr>
              <w:t>Open</w:t>
            </w:r>
          </w:p>
        </w:tc>
      </w:tr>
      <w:tr>
        <w:tc>
          <w:tcPr>
            <w:tcW w:type="dxa" w:w="2160"/>
          </w:tcPr>
          <w:p>
            <w:r>
              <w:rPr>
                <w:sz w:val="18"/>
              </w:rPr>
              <w:t>F-09</w:t>
            </w:r>
          </w:p>
        </w:tc>
        <w:tc>
          <w:tcPr>
            <w:tcW w:type="dxa" w:w="2160"/>
          </w:tcPr>
          <w:p>
            <w:r>
              <w:rPr>
                <w:sz w:val="18"/>
              </w:rPr>
              <w:t>Cancel freezes stage instead of terminal state</w:t>
            </w:r>
          </w:p>
        </w:tc>
        <w:tc>
          <w:tcPr>
            <w:tcW w:type="dxa" w:w="2160"/>
          </w:tcPr>
          <w:p>
            <w:r>
              <w:rPr>
                <w:b/>
                <w:color w:val="555555"/>
                <w:sz w:val="18"/>
              </w:rPr>
              <w:t>Low</w:t>
            </w:r>
          </w:p>
        </w:tc>
        <w:tc>
          <w:tcPr>
            <w:tcW w:type="dxa" w:w="2160"/>
          </w:tcPr>
          <w:p>
            <w:r>
              <w:rPr>
                <w:sz w:val="18"/>
              </w:rPr>
              <w:t>Open</w:t>
            </w:r>
          </w:p>
        </w:tc>
      </w:tr>
      <w:tr>
        <w:tc>
          <w:tcPr>
            <w:tcW w:type="dxa" w:w="2160"/>
          </w:tcPr>
          <w:p>
            <w:r>
              <w:rPr>
                <w:sz w:val="18"/>
              </w:rPr>
              <w:t>F-10</w:t>
            </w:r>
          </w:p>
        </w:tc>
        <w:tc>
          <w:tcPr>
            <w:tcW w:type="dxa" w:w="2160"/>
          </w:tcPr>
          <w:p>
            <w:r>
              <w:rPr>
                <w:sz w:val="18"/>
              </w:rPr>
              <w:t>AI copilot fully non-functional (pgvector → session cascade)</w:t>
            </w:r>
          </w:p>
        </w:tc>
        <w:tc>
          <w:tcPr>
            <w:tcW w:type="dxa" w:w="2160"/>
          </w:tcPr>
          <w:p>
            <w:r>
              <w:rPr>
                <w:b/>
                <w:color w:val="B02A2A"/>
                <w:sz w:val="18"/>
              </w:rPr>
              <w:t>High</w:t>
            </w:r>
          </w:p>
        </w:tc>
        <w:tc>
          <w:tcPr>
            <w:tcW w:type="dxa" w:w="2160"/>
          </w:tcPr>
          <w:p>
            <w:r>
              <w:rPr>
                <w:sz w:val="18"/>
              </w:rPr>
              <w:t>Open</w:t>
            </w:r>
          </w:p>
        </w:tc>
      </w:tr>
      <w:tr>
        <w:tc>
          <w:tcPr>
            <w:tcW w:type="dxa" w:w="2160"/>
          </w:tcPr>
          <w:p>
            <w:r>
              <w:rPr>
                <w:sz w:val="18"/>
              </w:rPr>
              <w:t>F-11</w:t>
            </w:r>
          </w:p>
        </w:tc>
        <w:tc>
          <w:tcPr>
            <w:tcW w:type="dxa" w:w="2160"/>
          </w:tcPr>
          <w:p>
            <w:r>
              <w:rPr>
                <w:sz w:val="18"/>
              </w:rPr>
              <w:t>Agent task list endpoint method mismatch (405)</w:t>
            </w:r>
          </w:p>
        </w:tc>
        <w:tc>
          <w:tcPr>
            <w:tcW w:type="dxa" w:w="2160"/>
          </w:tcPr>
          <w:p>
            <w:r>
              <w:rPr>
                <w:b/>
                <w:color w:val="B76E00"/>
                <w:sz w:val="18"/>
              </w:rPr>
              <w:t>Medium</w:t>
            </w:r>
          </w:p>
        </w:tc>
        <w:tc>
          <w:tcPr>
            <w:tcW w:type="dxa" w:w="2160"/>
          </w:tcPr>
          <w:p>
            <w:r>
              <w:rPr>
                <w:sz w:val="18"/>
              </w:rPr>
              <w:t>Open</w:t>
            </w:r>
          </w:p>
        </w:tc>
      </w:tr>
      <w:tr>
        <w:tc>
          <w:tcPr>
            <w:tcW w:type="dxa" w:w="2160"/>
          </w:tcPr>
          <w:p>
            <w:r>
              <w:rPr>
                <w:sz w:val="18"/>
              </w:rPr>
              <w:t>F-12</w:t>
            </w:r>
          </w:p>
        </w:tc>
        <w:tc>
          <w:tcPr>
            <w:tcW w:type="dxa" w:w="2160"/>
          </w:tcPr>
          <w:p>
            <w:r>
              <w:rPr>
                <w:sz w:val="18"/>
              </w:rPr>
              <w:t>Proposal detail id mismatch (every detail 404)</w:t>
            </w:r>
          </w:p>
        </w:tc>
        <w:tc>
          <w:tcPr>
            <w:tcW w:type="dxa" w:w="2160"/>
          </w:tcPr>
          <w:p>
            <w:r>
              <w:rPr>
                <w:b/>
                <w:color w:val="B76E00"/>
                <w:sz w:val="18"/>
              </w:rPr>
              <w:t>Medium</w:t>
            </w:r>
          </w:p>
        </w:tc>
        <w:tc>
          <w:tcPr>
            <w:tcW w:type="dxa" w:w="2160"/>
          </w:tcPr>
          <w:p>
            <w:r>
              <w:rPr>
                <w:sz w:val="18"/>
              </w:rPr>
              <w:t>Fixed</w:t>
            </w:r>
          </w:p>
        </w:tc>
      </w:tr>
      <w:tr>
        <w:tc>
          <w:tcPr>
            <w:tcW w:type="dxa" w:w="2160"/>
          </w:tcPr>
          <w:p>
            <w:r>
              <w:rPr>
                <w:sz w:val="18"/>
              </w:rPr>
              <w:t>F-13</w:t>
            </w:r>
          </w:p>
        </w:tc>
        <w:tc>
          <w:tcPr>
            <w:tcW w:type="dxa" w:w="2160"/>
          </w:tcPr>
          <w:p>
            <w:r>
              <w:rPr>
                <w:sz w:val="18"/>
              </w:rPr>
              <w:t>Forecast crash from field-name mismatch</w:t>
            </w:r>
          </w:p>
        </w:tc>
        <w:tc>
          <w:tcPr>
            <w:tcW w:type="dxa" w:w="2160"/>
          </w:tcPr>
          <w:p>
            <w:r>
              <w:rPr>
                <w:b/>
                <w:color w:val="B02A2A"/>
                <w:sz w:val="18"/>
              </w:rPr>
              <w:t>High</w:t>
            </w:r>
          </w:p>
        </w:tc>
        <w:tc>
          <w:tcPr>
            <w:tcW w:type="dxa" w:w="2160"/>
          </w:tcPr>
          <w:p>
            <w:r>
              <w:rPr>
                <w:sz w:val="18"/>
              </w:rPr>
              <w:t>Fixed</w:t>
            </w:r>
          </w:p>
        </w:tc>
      </w:tr>
      <w:tr>
        <w:tc>
          <w:tcPr>
            <w:tcW w:type="dxa" w:w="2160"/>
          </w:tcPr>
          <w:p>
            <w:r>
              <w:rPr>
                <w:sz w:val="18"/>
              </w:rPr>
              <w:t>F-14</w:t>
            </w:r>
          </w:p>
        </w:tc>
        <w:tc>
          <w:tcPr>
            <w:tcW w:type="dxa" w:w="2160"/>
          </w:tcPr>
          <w:p>
            <w:r>
              <w:rPr>
                <w:sz w:val="18"/>
              </w:rPr>
              <w:t>Intelligence widget renders object as React child (crash)</w:t>
            </w:r>
          </w:p>
        </w:tc>
        <w:tc>
          <w:tcPr>
            <w:tcW w:type="dxa" w:w="2160"/>
          </w:tcPr>
          <w:p>
            <w:r>
              <w:rPr>
                <w:b/>
                <w:color w:val="B76E00"/>
                <w:sz w:val="18"/>
              </w:rPr>
              <w:t>Medium</w:t>
            </w:r>
          </w:p>
        </w:tc>
        <w:tc>
          <w:tcPr>
            <w:tcW w:type="dxa" w:w="2160"/>
          </w:tcPr>
          <w:p>
            <w:r>
              <w:rPr>
                <w:sz w:val="18"/>
              </w:rPr>
              <w:t>Open</w:t>
            </w:r>
          </w:p>
        </w:tc>
      </w:tr>
      <w:tr>
        <w:tc>
          <w:tcPr>
            <w:tcW w:type="dxa" w:w="2160"/>
          </w:tcPr>
          <w:p>
            <w:r>
              <w:rPr>
                <w:sz w:val="18"/>
              </w:rPr>
              <w:t>F-15</w:t>
            </w:r>
          </w:p>
        </w:tc>
        <w:tc>
          <w:tcPr>
            <w:tcW w:type="dxa" w:w="2160"/>
          </w:tcPr>
          <w:p>
            <w:r>
              <w:rPr>
                <w:sz w:val="18"/>
              </w:rPr>
              <w:t>Approval queue unfiltered (sourced from opportunities)</w:t>
            </w:r>
          </w:p>
        </w:tc>
        <w:tc>
          <w:tcPr>
            <w:tcW w:type="dxa" w:w="2160"/>
          </w:tcPr>
          <w:p>
            <w:r>
              <w:rPr>
                <w:b/>
                <w:color w:val="B76E00"/>
                <w:sz w:val="18"/>
              </w:rPr>
              <w:t>Medium</w:t>
            </w:r>
          </w:p>
        </w:tc>
        <w:tc>
          <w:tcPr>
            <w:tcW w:type="dxa" w:w="2160"/>
          </w:tcPr>
          <w:p>
            <w:r>
              <w:rPr>
                <w:sz w:val="18"/>
              </w:rPr>
              <w:t>Open</w:t>
            </w:r>
          </w:p>
        </w:tc>
      </w:tr>
      <w:tr>
        <w:tc>
          <w:tcPr>
            <w:tcW w:type="dxa" w:w="2160"/>
          </w:tcPr>
          <w:p>
            <w:r>
              <w:rPr>
                <w:sz w:val="18"/>
              </w:rPr>
              <w:t>F-16</w:t>
            </w:r>
          </w:p>
        </w:tc>
        <w:tc>
          <w:tcPr>
            <w:tcW w:type="dxa" w:w="2160"/>
          </w:tcPr>
          <w:p>
            <w:r>
              <w:rPr>
                <w:sz w:val="18"/>
              </w:rPr>
              <w:t>No decision actions on the Approvals page</w:t>
            </w:r>
          </w:p>
        </w:tc>
        <w:tc>
          <w:tcPr>
            <w:tcW w:type="dxa" w:w="2160"/>
          </w:tcPr>
          <w:p>
            <w:r>
              <w:rPr>
                <w:b/>
                <w:color w:val="555555"/>
                <w:sz w:val="18"/>
              </w:rPr>
              <w:t>Low</w:t>
            </w:r>
          </w:p>
        </w:tc>
        <w:tc>
          <w:tcPr>
            <w:tcW w:type="dxa" w:w="2160"/>
          </w:tcPr>
          <w:p>
            <w:r>
              <w:rPr>
                <w:sz w:val="18"/>
              </w:rPr>
              <w:t>Open</w:t>
            </w:r>
          </w:p>
        </w:tc>
      </w:tr>
      <w:tr>
        <w:tc>
          <w:tcPr>
            <w:tcW w:type="dxa" w:w="2160"/>
          </w:tcPr>
          <w:p>
            <w:r>
              <w:rPr>
                <w:sz w:val="18"/>
              </w:rPr>
              <w:t>F-17</w:t>
            </w:r>
          </w:p>
        </w:tc>
        <w:tc>
          <w:tcPr>
            <w:tcW w:type="dxa" w:w="2160"/>
          </w:tcPr>
          <w:p>
            <w:r>
              <w:rPr>
                <w:sz w:val="18"/>
              </w:rPr>
              <w:t>No opportunity/proposal creation UI (endpoint orphaned)</w:t>
            </w:r>
          </w:p>
        </w:tc>
        <w:tc>
          <w:tcPr>
            <w:tcW w:type="dxa" w:w="2160"/>
          </w:tcPr>
          <w:p>
            <w:r>
              <w:rPr>
                <w:b/>
                <w:color w:val="B76E00"/>
                <w:sz w:val="18"/>
              </w:rPr>
              <w:t>Medium</w:t>
            </w:r>
          </w:p>
        </w:tc>
        <w:tc>
          <w:tcPr>
            <w:tcW w:type="dxa" w:w="2160"/>
          </w:tcPr>
          <w:p>
            <w:r>
              <w:rPr>
                <w:sz w:val="18"/>
              </w:rPr>
              <w:t>Open</w:t>
            </w:r>
          </w:p>
        </w:tc>
      </w:tr>
      <w:tr>
        <w:tc>
          <w:tcPr>
            <w:tcW w:type="dxa" w:w="2160"/>
          </w:tcPr>
          <w:p>
            <w:r>
              <w:rPr>
                <w:sz w:val="18"/>
              </w:rPr>
              <w:t>F-18</w:t>
            </w:r>
          </w:p>
        </w:tc>
        <w:tc>
          <w:tcPr>
            <w:tcW w:type="dxa" w:w="2160"/>
          </w:tcPr>
          <w:p>
            <w:r>
              <w:rPr>
                <w:sz w:val="18"/>
              </w:rPr>
              <w:t>Large orphaned, unauthorized mutating API surface</w:t>
            </w:r>
          </w:p>
        </w:tc>
        <w:tc>
          <w:tcPr>
            <w:tcW w:type="dxa" w:w="2160"/>
          </w:tcPr>
          <w:p>
            <w:r>
              <w:rPr>
                <w:b/>
                <w:color w:val="B76E00"/>
                <w:sz w:val="18"/>
              </w:rPr>
              <w:t>Medium</w:t>
            </w:r>
          </w:p>
        </w:tc>
        <w:tc>
          <w:tcPr>
            <w:tcW w:type="dxa" w:w="2160"/>
          </w:tcPr>
          <w:p>
            <w:r>
              <w:rPr>
                <w:sz w:val="18"/>
              </w:rPr>
              <w:t>Open</w:t>
            </w:r>
          </w:p>
        </w:tc>
      </w:tr>
      <w:tr>
        <w:tc>
          <w:tcPr>
            <w:tcW w:type="dxa" w:w="2160"/>
          </w:tcPr>
          <w:p>
            <w:r>
              <w:rPr>
                <w:sz w:val="18"/>
              </w:rPr>
              <w:t>F-19</w:t>
            </w:r>
          </w:p>
        </w:tc>
        <w:tc>
          <w:tcPr>
            <w:tcW w:type="dxa" w:w="2160"/>
          </w:tcPr>
          <w:p>
            <w:r>
              <w:rPr>
                <w:sz w:val="18"/>
              </w:rPr>
              <w:t>Pervasive date/SLA formatting defects</w:t>
            </w:r>
          </w:p>
        </w:tc>
        <w:tc>
          <w:tcPr>
            <w:tcW w:type="dxa" w:w="2160"/>
          </w:tcPr>
          <w:p>
            <w:r>
              <w:rPr>
                <w:b/>
                <w:color w:val="555555"/>
                <w:sz w:val="18"/>
              </w:rPr>
              <w:t>Low</w:t>
            </w:r>
          </w:p>
        </w:tc>
        <w:tc>
          <w:tcPr>
            <w:tcW w:type="dxa" w:w="2160"/>
          </w:tcPr>
          <w:p>
            <w:r>
              <w:rPr>
                <w:sz w:val="18"/>
              </w:rPr>
              <w:t>Open</w:t>
            </w:r>
          </w:p>
        </w:tc>
      </w:tr>
      <w:tr>
        <w:tc>
          <w:tcPr>
            <w:tcW w:type="dxa" w:w="2160"/>
          </w:tcPr>
          <w:p>
            <w:r>
              <w:rPr>
                <w:sz w:val="18"/>
              </w:rPr>
              <w:t>F-20</w:t>
            </w:r>
          </w:p>
        </w:tc>
        <w:tc>
          <w:tcPr>
            <w:tcW w:type="dxa" w:w="2160"/>
          </w:tcPr>
          <w:p>
            <w:r>
              <w:rPr>
                <w:sz w:val="18"/>
              </w:rPr>
              <w:t>Percentages double-scaled (e.g. 8200%, 5000%)</w:t>
            </w:r>
          </w:p>
        </w:tc>
        <w:tc>
          <w:tcPr>
            <w:tcW w:type="dxa" w:w="2160"/>
          </w:tcPr>
          <w:p>
            <w:r>
              <w:rPr>
                <w:b/>
                <w:color w:val="555555"/>
                <w:sz w:val="18"/>
              </w:rPr>
              <w:t>Low</w:t>
            </w:r>
          </w:p>
        </w:tc>
        <w:tc>
          <w:tcPr>
            <w:tcW w:type="dxa" w:w="2160"/>
          </w:tcPr>
          <w:p>
            <w:r>
              <w:rPr>
                <w:sz w:val="18"/>
              </w:rPr>
              <w:t>Open</w:t>
            </w:r>
          </w:p>
        </w:tc>
      </w:tr>
      <w:tr>
        <w:tc>
          <w:tcPr>
            <w:tcW w:type="dxa" w:w="2160"/>
          </w:tcPr>
          <w:p>
            <w:r>
              <w:rPr>
                <w:sz w:val="18"/>
              </w:rPr>
              <w:t>F-21</w:t>
            </w:r>
          </w:p>
        </w:tc>
        <w:tc>
          <w:tcPr>
            <w:tcW w:type="dxa" w:w="2160"/>
          </w:tcPr>
          <w:p>
            <w:r>
              <w:rPr>
                <w:sz w:val="18"/>
              </w:rPr>
              <w:t>Auto-assign blocked by seed capacity</w:t>
            </w:r>
          </w:p>
        </w:tc>
        <w:tc>
          <w:tcPr>
            <w:tcW w:type="dxa" w:w="2160"/>
          </w:tcPr>
          <w:p>
            <w:r>
              <w:rPr>
                <w:b/>
                <w:color w:val="555555"/>
                <w:sz w:val="18"/>
              </w:rPr>
              <w:t>Low</w:t>
            </w:r>
          </w:p>
        </w:tc>
        <w:tc>
          <w:tcPr>
            <w:tcW w:type="dxa" w:w="2160"/>
          </w:tcPr>
          <w:p>
            <w:r>
              <w:rPr>
                <w:sz w:val="18"/>
              </w:rPr>
              <w:t>Open</w:t>
            </w:r>
          </w:p>
        </w:tc>
      </w:tr>
      <w:tr>
        <w:tc>
          <w:tcPr>
            <w:tcW w:type="dxa" w:w="2160"/>
          </w:tcPr>
          <w:p>
            <w:r>
              <w:rPr>
                <w:sz w:val="18"/>
              </w:rPr>
              <w:t>F-22</w:t>
            </w:r>
          </w:p>
        </w:tc>
        <w:tc>
          <w:tcPr>
            <w:tcW w:type="dxa" w:w="2160"/>
          </w:tcPr>
          <w:p>
            <w:r>
              <w:rPr>
                <w:sz w:val="18"/>
              </w:rPr>
              <w:t>Login ignores post-auth redirect (?next)</w:t>
            </w:r>
          </w:p>
        </w:tc>
        <w:tc>
          <w:tcPr>
            <w:tcW w:type="dxa" w:w="2160"/>
          </w:tcPr>
          <w:p>
            <w:r>
              <w:rPr>
                <w:b/>
                <w:color w:val="555555"/>
                <w:sz w:val="18"/>
              </w:rPr>
              <w:t>Low</w:t>
            </w:r>
          </w:p>
        </w:tc>
        <w:tc>
          <w:tcPr>
            <w:tcW w:type="dxa" w:w="2160"/>
          </w:tcPr>
          <w:p>
            <w:r>
              <w:rPr>
                <w:sz w:val="18"/>
              </w:rPr>
              <w:t>Open</w:t>
            </w:r>
          </w:p>
        </w:tc>
      </w:tr>
      <w:tr>
        <w:tc>
          <w:tcPr>
            <w:tcW w:type="dxa" w:w="2160"/>
          </w:tcPr>
          <w:p>
            <w:r>
              <w:rPr>
                <w:sz w:val="18"/>
              </w:rPr>
              <w:t>F-23</w:t>
            </w:r>
          </w:p>
        </w:tc>
        <w:tc>
          <w:tcPr>
            <w:tcW w:type="dxa" w:w="2160"/>
          </w:tcPr>
          <w:p>
            <w:r>
              <w:rPr>
                <w:sz w:val="18"/>
              </w:rPr>
              <w:t>Swagger /docs blank (CDN assets blocked)</w:t>
            </w:r>
          </w:p>
        </w:tc>
        <w:tc>
          <w:tcPr>
            <w:tcW w:type="dxa" w:w="2160"/>
          </w:tcPr>
          <w:p>
            <w:r>
              <w:rPr>
                <w:b/>
                <w:color w:val="B76E00"/>
                <w:sz w:val="18"/>
              </w:rPr>
              <w:t>Medium</w:t>
            </w:r>
          </w:p>
        </w:tc>
        <w:tc>
          <w:tcPr>
            <w:tcW w:type="dxa" w:w="2160"/>
          </w:tcPr>
          <w:p>
            <w:r>
              <w:rPr>
                <w:sz w:val="18"/>
              </w:rPr>
              <w:t>Open</w:t>
            </w:r>
          </w:p>
        </w:tc>
      </w:tr>
      <w:tr>
        <w:tc>
          <w:tcPr>
            <w:tcW w:type="dxa" w:w="2160"/>
          </w:tcPr>
          <w:p>
            <w:r>
              <w:rPr>
                <w:sz w:val="18"/>
              </w:rPr>
              <w:t>F-24</w:t>
            </w:r>
          </w:p>
        </w:tc>
        <w:tc>
          <w:tcPr>
            <w:tcW w:type="dxa" w:w="2160"/>
          </w:tcPr>
          <w:p>
            <w:r>
              <w:rPr>
                <w:sz w:val="18"/>
              </w:rPr>
              <w:t>Dead route /dashboard (404)</w:t>
            </w:r>
          </w:p>
        </w:tc>
        <w:tc>
          <w:tcPr>
            <w:tcW w:type="dxa" w:w="2160"/>
          </w:tcPr>
          <w:p>
            <w:r>
              <w:rPr>
                <w:b/>
                <w:color w:val="B76E00"/>
                <w:sz w:val="18"/>
              </w:rPr>
              <w:t>Medium</w:t>
            </w:r>
          </w:p>
        </w:tc>
        <w:tc>
          <w:tcPr>
            <w:tcW w:type="dxa" w:w="2160"/>
          </w:tcPr>
          <w:p>
            <w:r>
              <w:rPr>
                <w:sz w:val="18"/>
              </w:rPr>
              <w:t>Open</w:t>
            </w:r>
          </w:p>
        </w:tc>
      </w:tr>
      <w:tr>
        <w:tc>
          <w:tcPr>
            <w:tcW w:type="dxa" w:w="2160"/>
          </w:tcPr>
          <w:p>
            <w:r>
              <w:rPr>
                <w:sz w:val="18"/>
              </w:rPr>
              <w:t>F-25</w:t>
            </w:r>
          </w:p>
        </w:tc>
        <w:tc>
          <w:tcPr>
            <w:tcW w:type="dxa" w:w="2160"/>
          </w:tcPr>
          <w:p>
            <w:r>
              <w:rPr>
                <w:sz w:val="18"/>
              </w:rPr>
              <w:t>Request-level traces missing (FastAPI not instrumented)</w:t>
            </w:r>
          </w:p>
        </w:tc>
        <w:tc>
          <w:tcPr>
            <w:tcW w:type="dxa" w:w="2160"/>
          </w:tcPr>
          <w:p>
            <w:r>
              <w:rPr>
                <w:b/>
                <w:color w:val="B76E00"/>
                <w:sz w:val="18"/>
              </w:rPr>
              <w:t>Medium</w:t>
            </w:r>
          </w:p>
        </w:tc>
        <w:tc>
          <w:tcPr>
            <w:tcW w:type="dxa" w:w="2160"/>
          </w:tcPr>
          <w:p>
            <w:r>
              <w:rPr>
                <w:sz w:val="18"/>
              </w:rPr>
              <w:t>Open</w:t>
            </w:r>
          </w:p>
        </w:tc>
      </w:tr>
    </w:tbl>
    <w:p/>
    <w:p>
      <w:pPr>
        <w:pStyle w:val="Heading1"/>
      </w:pPr>
      <w:r>
        <w:rPr>
          <w:color w:val="1F3355"/>
        </w:rPr>
        <w:t>4. Detailed Findings</w:t>
      </w:r>
    </w:p>
    <w:p>
      <w:pPr>
        <w:pStyle w:val="Heading2"/>
      </w:pPr>
      <w:r>
        <w:rPr>
          <w:color w:val="1F3355"/>
        </w:rPr>
        <w:t>A. Authentication &amp; Authorization</w:t>
      </w:r>
    </w:p>
    <w:p>
      <w:pPr>
        <w:spacing w:after="40"/>
      </w:pPr>
      <w:r>
        <w:rPr>
          <w:b/>
          <w:color w:val="1F3355"/>
          <w:sz w:val="22"/>
        </w:rPr>
        <w:t xml:space="preserve">F-01 — Unauthenticated API surface  </w:t>
      </w:r>
      <w:r>
        <w:rPr>
          <w:b/>
          <w:color w:val="B02A2A"/>
          <w:sz w:val="19"/>
        </w:rPr>
        <w:t>[Critical · Fixed]</w:t>
      </w:r>
    </w:p>
    <w:p>
      <w:pPr>
        <w:spacing w:after="200"/>
      </w:pPr>
      <w:r>
        <w:rPr>
          <w:sz w:val="21"/>
        </w:rPr>
        <w:t>Every /api/** router was mounted without an authentication dependency, leaving the entire API reachable without a token. Root cause: authentication was assumed to be global, yet no auth dependency was applied at the router level. Remediation (applied): the auth dependency is attached to every included router centrally (health/readiness/metrics left public); verified no-token requests now return 401 and valid-token requests 200.</w:t>
      </w:r>
    </w:p>
    <w:p>
      <w:pPr>
        <w:spacing w:after="40"/>
      </w:pPr>
      <w:r>
        <w:rPr>
          <w:b/>
          <w:color w:val="1F3355"/>
          <w:sz w:val="22"/>
        </w:rPr>
        <w:t xml:space="preserve">F-02 — Broken browser authentication flow  </w:t>
      </w:r>
      <w:r>
        <w:rPr>
          <w:b/>
          <w:color w:val="B02A2A"/>
          <w:sz w:val="19"/>
        </w:rPr>
        <w:t>[High · Fixed]</w:t>
      </w:r>
    </w:p>
    <w:p>
      <w:pPr>
        <w:spacing w:after="200"/>
      </w:pPr>
      <w:r>
        <w:rPr>
          <w:sz w:val="21"/>
        </w:rPr>
        <w:t>The refresh-token cookie was issued with SameSite=Lax and Secure restricted to production, so the browser rejected it over the cross-origin local flow; token refresh then failed, WebSockets never authenticated, and any full-page reload of a protected route bounced to the login screen. Root cause: cookie attributes incompatible with the single-page app's cross-origin bootstrap. Remediation (applied): corrected cookie flags and gated protected routes on bootstrap; verified refresh succeeds (200), WebSockets upgrade (101), and a hard refresh preserves the page.</w:t>
      </w:r>
    </w:p>
    <w:p>
      <w:pPr>
        <w:spacing w:after="40"/>
      </w:pPr>
      <w:r>
        <w:rPr>
          <w:b/>
          <w:color w:val="1F3355"/>
          <w:sz w:val="22"/>
        </w:rPr>
        <w:t xml:space="preserve">F-03 — Authorization not enforced (RBAC dead code)  </w:t>
      </w:r>
      <w:r>
        <w:rPr>
          <w:b/>
          <w:color w:val="B02A2A"/>
          <w:sz w:val="19"/>
        </w:rPr>
        <w:t>[High · Open]</w:t>
      </w:r>
    </w:p>
    <w:p>
      <w:pPr>
        <w:spacing w:after="200"/>
      </w:pPr>
      <w:r>
        <w:rPr>
          <w:sz w:val="21"/>
        </w:rPr>
        <w:t>Authorization is not enforced anywhere: a correct require_permission() dependency exists but is applied to zero routes, so any authenticated user holds every permission regardless of role. Proof of concept: a presales-lead account that lacks webhook write/delete permissions successfully created and deleted a webhook (POST 201, DELETE 200). Recommendation: wire the existing require_permission factory to each route via a permission map and treat the permission model as authoritative.</w:t>
      </w:r>
    </w:p>
    <w:p>
      <w:pPr>
        <w:spacing w:after="40"/>
      </w:pPr>
      <w:r>
        <w:rPr>
          <w:b/>
          <w:color w:val="1F3355"/>
          <w:sz w:val="22"/>
        </w:rPr>
        <w:t xml:space="preserve">F-04 — Sidebar navigation not role-gated  </w:t>
      </w:r>
      <w:r>
        <w:rPr>
          <w:b/>
          <w:color w:val="B76E00"/>
          <w:sz w:val="19"/>
        </w:rPr>
        <w:t>[Medium · Open]</w:t>
      </w:r>
    </w:p>
    <w:p>
      <w:pPr>
        <w:spacing w:after="200"/>
      </w:pPr>
      <w:r>
        <w:rPr>
          <w:sz w:val="21"/>
        </w:rPr>
        <w:t>The navigation sidebar is identical for every role — an administrator and a presales lead see the same sixteen entries — because the available role-check helper is never used in the sidebar component. On its own this is cosmetic, but combined with F-03 the exposed administrative links actually function. Recommendation: gate navigation by role on the client and enforce on the server (F-03).</w:t>
      </w:r>
    </w:p>
    <w:p>
      <w:pPr>
        <w:pStyle w:val="Heading2"/>
      </w:pPr>
      <w:r>
        <w:rPr>
          <w:color w:val="1F3355"/>
        </w:rPr>
        <w:t>B. Workflow Integrity</w:t>
      </w:r>
    </w:p>
    <w:p>
      <w:pPr>
        <w:spacing w:after="40"/>
      </w:pPr>
      <w:r>
        <w:rPr>
          <w:b/>
          <w:color w:val="1F3355"/>
          <w:sz w:val="22"/>
        </w:rPr>
        <w:t xml:space="preserve">F-05 — Approvals never signal the review workflow  </w:t>
      </w:r>
      <w:r>
        <w:rPr>
          <w:b/>
          <w:color w:val="B02A2A"/>
          <w:sz w:val="19"/>
        </w:rPr>
        <w:t>[High · Open]</w:t>
      </w:r>
    </w:p>
    <w:p>
      <w:pPr>
        <w:spacing w:after="200"/>
      </w:pPr>
      <w:r>
        <w:rPr>
          <w:sz w:val="21"/>
        </w:rPr>
        <w:t>Approving an item in the war-room approval chain calls the approval-decide endpoint, which only updates the database row and emits an event with no consumers; it never signals the durable parallel-review workflow that actually gates the review. As a result a proposal that enters parallel review can never progress past it through the interface, and every downstream stage is unreachable. Recommendation: have the decide path also signal the review-submit operation for review-stage approvals.</w:t>
      </w:r>
    </w:p>
    <w:p>
      <w:pPr>
        <w:spacing w:after="40"/>
      </w:pPr>
      <w:r>
        <w:rPr>
          <w:b/>
          <w:color w:val="1F3355"/>
          <w:sz w:val="22"/>
        </w:rPr>
        <w:t xml:space="preserve">F-06 — No server-side transition validation  </w:t>
      </w:r>
      <w:r>
        <w:rPr>
          <w:b/>
          <w:color w:val="B02A2A"/>
          <w:sz w:val="19"/>
        </w:rPr>
        <w:t>[High · Open]</w:t>
      </w:r>
    </w:p>
    <w:p>
      <w:pPr>
        <w:spacing w:after="200"/>
      </w:pPr>
      <w:r>
        <w:rPr>
          <w:sz w:val="21"/>
        </w:rPr>
        <w:t>The workflow applies any requested stage transition without validating it against the permitted transition graph; an illegal jump from the first stage straight to the approval stage — skipping six stages including all reviews — was accepted and persisted. Root cause: the state machine is enforced only by the frontend's button list, never on the server. Recommendation: validate the requested stage against the allowed-transition map in the persistence step and reject illegal moves.</w:t>
      </w:r>
    </w:p>
    <w:p>
      <w:pPr>
        <w:spacing w:after="40"/>
      </w:pPr>
      <w:r>
        <w:rPr>
          <w:b/>
          <w:color w:val="1F3355"/>
          <w:sz w:val="22"/>
        </w:rPr>
        <w:t xml:space="preserve">F-07 — Panel does not refresh after a transition  </w:t>
      </w:r>
      <w:r>
        <w:rPr>
          <w:b/>
          <w:color w:val="B76E00"/>
          <w:sz w:val="19"/>
        </w:rPr>
        <w:t>[Medium · Open]</w:t>
      </w:r>
    </w:p>
    <w:p>
      <w:pPr>
        <w:spacing w:after="200"/>
      </w:pPr>
      <w:r>
        <w:rPr>
          <w:sz w:val="21"/>
        </w:rPr>
        <w:t>After advancing a stage, the war-room panel does not reflect the new stage until a manual reload, because the status query fires before the asynchronous workflow signal is processed and is never re-fetched. Recommendation: invalidate and re-fetch the workflow-status query after a transition, or poll briefly until it settles.</w:t>
      </w:r>
    </w:p>
    <w:p>
      <w:pPr>
        <w:spacing w:after="40"/>
      </w:pPr>
      <w:r>
        <w:rPr>
          <w:b/>
          <w:color w:val="1F3355"/>
          <w:sz w:val="22"/>
        </w:rPr>
        <w:t xml:space="preserve">F-08 — Parallel-review UX and state not surfaced  </w:t>
      </w:r>
      <w:r>
        <w:rPr>
          <w:b/>
          <w:color w:val="B76E00"/>
          <w:sz w:val="19"/>
        </w:rPr>
        <w:t>[Medium · Open]</w:t>
      </w:r>
    </w:p>
    <w:p>
      <w:pPr>
        <w:spacing w:after="200"/>
      </w:pPr>
      <w:r>
        <w:rPr>
          <w:sz w:val="21"/>
        </w:rPr>
        <w:t>The drafting stage presents three separate advance buttons (technical, security, delivery review) but the workflow treats any of them identically as 'run all three reviews', and during review the parent stage remains 'drafting' so the progress rail and stage assistant never reflect the review phase. Recommendation: collapse to a single 'submit for review' action and surface the parallel-review sub-state explicitly.</w:t>
      </w:r>
    </w:p>
    <w:p>
      <w:pPr>
        <w:spacing w:after="40"/>
      </w:pPr>
      <w:r>
        <w:rPr>
          <w:b/>
          <w:color w:val="1F3355"/>
          <w:sz w:val="22"/>
        </w:rPr>
        <w:t xml:space="preserve">F-09 — Cancel freezes stage instead of a terminal state  </w:t>
      </w:r>
      <w:r>
        <w:rPr>
          <w:b/>
          <w:color w:val="555555"/>
          <w:sz w:val="19"/>
        </w:rPr>
        <w:t>[Low · Open]</w:t>
      </w:r>
    </w:p>
    <w:p>
      <w:pPr>
        <w:spacing w:after="200"/>
      </w:pPr>
      <w:r>
        <w:rPr>
          <w:sz w:val="21"/>
        </w:rPr>
        <w:t>Cancelling a workflow correctly marks it inactive but leaves the stage frozen at its last value rather than moving to a lost/closed terminal stage as the cancel contract implies, so a cancelled proposal still reads as mid-pipeline. Recommendation: persist a terminal stage on cancel.</w:t>
      </w:r>
    </w:p>
    <w:p>
      <w:pPr>
        <w:pStyle w:val="Heading2"/>
      </w:pPr>
      <w:r>
        <w:rPr>
          <w:color w:val="1F3355"/>
        </w:rPr>
        <w:t>C. AI Subsystem</w:t>
      </w:r>
    </w:p>
    <w:p>
      <w:pPr>
        <w:spacing w:after="40"/>
      </w:pPr>
      <w:r>
        <w:rPr>
          <w:b/>
          <w:color w:val="1F3355"/>
          <w:sz w:val="22"/>
        </w:rPr>
        <w:t xml:space="preserve">F-10 — AI copilot fully non-functional  </w:t>
      </w:r>
      <w:r>
        <w:rPr>
          <w:b/>
          <w:color w:val="B02A2A"/>
          <w:sz w:val="19"/>
        </w:rPr>
        <w:t>[High · Open]</w:t>
      </w:r>
    </w:p>
    <w:p>
      <w:pPr>
        <w:spacing w:after="200"/>
      </w:pPr>
      <w:r>
        <w:rPr>
          <w:sz w:val="21"/>
        </w:rPr>
        <w:t>The entire AI copilot surface is dead. A vector-similarity query binds its parameter in a form the database rejects as a syntax error; the fallback path catches the exception but never rolls back the session, so the next query fails with 'current transaction is aborted', and the resulting server error reaches the browser without cross-origin headers — appearing as a misleading CORS / network failure that masks the real fault. Confirmed across the RFP-analysis and draft-generation assistants. Recommendation: fix the parameter binding, add an explicit session rollback in the fallback, and attach CORS headers to error responses.</w:t>
      </w:r>
    </w:p>
    <w:p>
      <w:pPr>
        <w:spacing w:after="40"/>
      </w:pPr>
      <w:r>
        <w:rPr>
          <w:b/>
          <w:color w:val="1F3355"/>
          <w:sz w:val="22"/>
        </w:rPr>
        <w:t xml:space="preserve">F-11 — Agent task list endpoint mismatch  </w:t>
      </w:r>
      <w:r>
        <w:rPr>
          <w:b/>
          <w:color w:val="B76E00"/>
          <w:sz w:val="19"/>
        </w:rPr>
        <w:t>[Medium · Open]</w:t>
      </w:r>
    </w:p>
    <w:p>
      <w:pPr>
        <w:spacing w:after="200"/>
      </w:pPr>
      <w:r>
        <w:rPr>
          <w:sz w:val="21"/>
        </w:rPr>
        <w:t>The Agent Monitor can never list tasks: the frontend issues a GET to the agent-tasks collection, but the backend defines only a create (POST) and a fetch-by-id (GET), with no GET-list, so the request returns 405 and the interface silently shows zero. Recommendation: add a list endpoint, or point the client at the correct path.</w:t>
      </w:r>
    </w:p>
    <w:p>
      <w:pPr>
        <w:pStyle w:val="Heading2"/>
      </w:pPr>
      <w:r>
        <w:rPr>
          <w:color w:val="1F3355"/>
        </w:rPr>
        <w:t>D. Frontend / Backend Contract Drift</w:t>
      </w:r>
    </w:p>
    <w:p>
      <w:pPr>
        <w:spacing w:after="40"/>
      </w:pPr>
      <w:r>
        <w:rPr>
          <w:b/>
          <w:color w:val="1F3355"/>
          <w:sz w:val="22"/>
        </w:rPr>
        <w:t xml:space="preserve">F-12 — Proposal detail id mismatch  </w:t>
      </w:r>
      <w:r>
        <w:rPr>
          <w:b/>
          <w:color w:val="B76E00"/>
          <w:sz w:val="19"/>
        </w:rPr>
        <w:t>[Medium · Fixed]</w:t>
      </w:r>
    </w:p>
    <w:p>
      <w:pPr>
        <w:spacing w:after="200"/>
      </w:pPr>
      <w:r>
        <w:rPr>
          <w:sz w:val="21"/>
        </w:rPr>
        <w:t>Every proposal-detail link returned 'not found' because list views linked by the proposal identifier while the detail page fetched by the opportunity identifier. Remediation (applied): a backend fallback resolves either identifier; verified the detail and health panels now load.</w:t>
      </w:r>
    </w:p>
    <w:p>
      <w:pPr>
        <w:spacing w:after="40"/>
      </w:pPr>
      <w:r>
        <w:rPr>
          <w:b/>
          <w:color w:val="1F3355"/>
          <w:sz w:val="22"/>
        </w:rPr>
        <w:t xml:space="preserve">F-13 — Forecast crash from field-name mismatch  </w:t>
      </w:r>
      <w:r>
        <w:rPr>
          <w:b/>
          <w:color w:val="B02A2A"/>
          <w:sz w:val="19"/>
        </w:rPr>
        <w:t>[High · Fixed]</w:t>
      </w:r>
    </w:p>
    <w:p>
      <w:pPr>
        <w:spacing w:after="200"/>
      </w:pPr>
      <w:r>
        <w:rPr>
          <w:sz w:val="21"/>
        </w:rPr>
        <w:t>The intelligence forecast crashed because the frontend read forecast fields whose names differed from the API response keys, and the shared type declared the wrong names so the compiler never caught it. Remediation (applied): aligned the field names; the crash is gone (a flat-axis chart-scaling issue remains, cosmetic).</w:t>
      </w:r>
    </w:p>
    <w:p>
      <w:pPr>
        <w:spacing w:after="40"/>
      </w:pPr>
      <w:r>
        <w:rPr>
          <w:b/>
          <w:color w:val="1F3355"/>
          <w:sz w:val="22"/>
        </w:rPr>
        <w:t xml:space="preserve">F-14 — Widget renders an object as a React child  </w:t>
      </w:r>
      <w:r>
        <w:rPr>
          <w:b/>
          <w:color w:val="B76E00"/>
          <w:sz w:val="19"/>
        </w:rPr>
        <w:t>[Medium · Open]</w:t>
      </w:r>
    </w:p>
    <w:p>
      <w:pPr>
        <w:spacing w:after="200"/>
      </w:pPr>
      <w:r>
        <w:rPr>
          <w:sz w:val="21"/>
        </w:rPr>
        <w:t>The intelligence 'dependencies' widget crashes (objects are not valid as a React child) because it renders a stakeholder-dependency object directly instead of its fields; the API returns 200, so this is purely a render defect that trips an error boundary. Recommendation: render the object's individual fields.</w:t>
      </w:r>
    </w:p>
    <w:p>
      <w:pPr>
        <w:spacing w:after="40"/>
      </w:pPr>
      <w:r>
        <w:rPr>
          <w:b/>
          <w:color w:val="1F3355"/>
          <w:sz w:val="22"/>
        </w:rPr>
        <w:t xml:space="preserve">F-15 — Approval queue unfiltered  </w:t>
      </w:r>
      <w:r>
        <w:rPr>
          <w:b/>
          <w:color w:val="B76E00"/>
          <w:sz w:val="19"/>
        </w:rPr>
        <w:t>[Medium · Open]</w:t>
      </w:r>
    </w:p>
    <w:p>
      <w:pPr>
        <w:spacing w:after="200"/>
      </w:pPr>
      <w:r>
        <w:rPr>
          <w:sz w:val="21"/>
        </w:rPr>
        <w:t>The approval queue's 'pending' tab lists all proposals — including closed/won and closed/lost — because it is sourced from the opportunities collection rather than a pending-approvals query, and the 'pending' filter is a no-op. Recommendation: source the queue from actual pending approvals.</w:t>
      </w:r>
    </w:p>
    <w:p>
      <w:pPr>
        <w:spacing w:after="40"/>
      </w:pPr>
      <w:r>
        <w:rPr>
          <w:b/>
          <w:color w:val="1F3355"/>
          <w:sz w:val="22"/>
        </w:rPr>
        <w:t xml:space="preserve">F-16 — No decision actions on the Approvals page  </w:t>
      </w:r>
      <w:r>
        <w:rPr>
          <w:b/>
          <w:color w:val="555555"/>
          <w:sz w:val="19"/>
        </w:rPr>
        <w:t>[Low · Open]</w:t>
      </w:r>
    </w:p>
    <w:p>
      <w:pPr>
        <w:spacing w:after="200"/>
      </w:pPr>
      <w:r>
        <w:rPr>
          <w:sz w:val="21"/>
        </w:rPr>
        <w:t>The Approvals page exposes no decision control (approve, reject, escalate) — only a link to the war room; combined with F-05 there is no working path to action an approval anywhere in the product. Recommendation: add inline decision controls wired to a working signal.</w:t>
      </w:r>
    </w:p>
    <w:p>
      <w:pPr>
        <w:spacing w:after="40"/>
      </w:pPr>
      <w:r>
        <w:rPr>
          <w:b/>
          <w:color w:val="1F3355"/>
          <w:sz w:val="22"/>
        </w:rPr>
        <w:t xml:space="preserve">F-17 — No creation UI for opportunities/proposals  </w:t>
      </w:r>
      <w:r>
        <w:rPr>
          <w:b/>
          <w:color w:val="B76E00"/>
          <w:sz w:val="19"/>
        </w:rPr>
        <w:t>[Medium · Open]</w:t>
      </w:r>
    </w:p>
    <w:p>
      <w:pPr>
        <w:spacing w:after="200"/>
      </w:pPr>
      <w:r>
        <w:rPr>
          <w:sz w:val="21"/>
        </w:rPr>
        <w:t>There is no interface to create an opportunity or proposal: the create endpoint exists (and creates the client, opportunity and proposal records together) but no page or component calls it, so records can only be seeded or created by direct API. Recommendation: add a creation form bound to the existing endpoint.</w:t>
      </w:r>
    </w:p>
    <w:p>
      <w:pPr>
        <w:spacing w:after="40"/>
      </w:pPr>
      <w:r>
        <w:rPr>
          <w:b/>
          <w:color w:val="1F3355"/>
          <w:sz w:val="22"/>
        </w:rPr>
        <w:t xml:space="preserve">F-18 — Large orphaned, unauthorized mutating surface  </w:t>
      </w:r>
      <w:r>
        <w:rPr>
          <w:b/>
          <w:color w:val="B76E00"/>
          <w:sz w:val="19"/>
        </w:rPr>
        <w:t>[Medium · Open]</w:t>
      </w:r>
    </w:p>
    <w:p>
      <w:pPr>
        <w:spacing w:after="200"/>
      </w:pPr>
      <w:r>
        <w:rPr>
          <w:sz w:val="21"/>
        </w:rPr>
        <w:t>A substantial fraction of the API is reachable but unreachable from the interface ('orphaned'): state-changing operations such as review-submit and SLA-resolve, agent task create/approve/reject, tenant administration, integration webhook/sync/ingest, memory indexing/reindexing, and AI proposal generation have no working UI path. Combined with F-03 (no authorization), these orphaned mutating endpoints form an unmonitored, unauthorized attack surface. Recommendation: wire, gate, or remove unused endpoints.</w:t>
      </w:r>
    </w:p>
    <w:p>
      <w:pPr>
        <w:pStyle w:val="Heading2"/>
      </w:pPr>
      <w:r>
        <w:rPr>
          <w:color w:val="1F3355"/>
        </w:rPr>
        <w:t>E. Data Quality &amp; Cosmetic</w:t>
      </w:r>
    </w:p>
    <w:p>
      <w:pPr>
        <w:spacing w:after="40"/>
      </w:pPr>
      <w:r>
        <w:rPr>
          <w:b/>
          <w:color w:val="1F3355"/>
          <w:sz w:val="22"/>
        </w:rPr>
        <w:t xml:space="preserve">F-19 — Pervasive date / SLA formatting defects  </w:t>
      </w:r>
      <w:r>
        <w:rPr>
          <w:b/>
          <w:color w:val="555555"/>
          <w:sz w:val="19"/>
        </w:rPr>
        <w:t>[Low · Open]</w:t>
      </w:r>
    </w:p>
    <w:p>
      <w:pPr>
        <w:spacing w:after="200"/>
      </w:pPr>
      <w:r>
        <w:rPr>
          <w:sz w:val="21"/>
        </w:rPr>
        <w:t>Time and SLA values render incorrectly throughout — transition history reads 'NaN days ago', approval due-dates show negative seconds, and almost every proposal shows 'Overdue' — driven by date-parsing/formatting bugs and past-dated seed deadlines. Recommendation: centralise date formatting and refresh seed deadlines.</w:t>
      </w:r>
    </w:p>
    <w:p>
      <w:pPr>
        <w:spacing w:after="40"/>
      </w:pPr>
      <w:r>
        <w:rPr>
          <w:b/>
          <w:color w:val="1F3355"/>
          <w:sz w:val="22"/>
        </w:rPr>
        <w:t xml:space="preserve">F-20 — Percentages double-scaled  </w:t>
      </w:r>
      <w:r>
        <w:rPr>
          <w:b/>
          <w:color w:val="555555"/>
          <w:sz w:val="19"/>
        </w:rPr>
        <w:t>[Low · Open]</w:t>
      </w:r>
    </w:p>
    <w:p>
      <w:pPr>
        <w:spacing w:after="200"/>
      </w:pPr>
      <w:r>
        <w:rPr>
          <w:sz w:val="21"/>
        </w:rPr>
        <w:t>Percentages are scaled twice: win probability renders as '8200%' and analytics win-rate as '5000.0%' because a value already expressed in percent is multiplied by one hundred again. Recommendation: a single percentage-formatting helper.</w:t>
      </w:r>
    </w:p>
    <w:p>
      <w:pPr>
        <w:spacing w:after="40"/>
      </w:pPr>
      <w:r>
        <w:rPr>
          <w:b/>
          <w:color w:val="1F3355"/>
          <w:sz w:val="22"/>
        </w:rPr>
        <w:t xml:space="preserve">F-21 — Auto-assign blocked by seed capacity  </w:t>
      </w:r>
      <w:r>
        <w:rPr>
          <w:b/>
          <w:color w:val="555555"/>
          <w:sz w:val="19"/>
        </w:rPr>
        <w:t>[Low · Open]</w:t>
      </w:r>
    </w:p>
    <w:p>
      <w:pPr>
        <w:spacing w:after="200"/>
      </w:pPr>
      <w:r>
        <w:rPr>
          <w:sz w:val="21"/>
        </w:rPr>
        <w:t>Auto-assigning a subject-matter expert always fails with a clear '422 — all experts at maximum workload' because every eligible expert in the seed data is at capacity (the spare-capacity people shown elsewhere hold non-eligible roles). The logic is correct; the seed needs spare capacity to demonstrate a successful assignment.</w:t>
      </w:r>
    </w:p>
    <w:p>
      <w:pPr>
        <w:spacing w:after="40"/>
      </w:pPr>
      <w:r>
        <w:rPr>
          <w:b/>
          <w:color w:val="1F3355"/>
          <w:sz w:val="22"/>
        </w:rPr>
        <w:t xml:space="preserve">F-22 — Login ignores post-auth redirect  </w:t>
      </w:r>
      <w:r>
        <w:rPr>
          <w:b/>
          <w:color w:val="555555"/>
          <w:sz w:val="19"/>
        </w:rPr>
        <w:t>[Low · Open]</w:t>
      </w:r>
    </w:p>
    <w:p>
      <w:pPr>
        <w:spacing w:after="200"/>
      </w:pPr>
      <w:r>
        <w:rPr>
          <w:sz w:val="21"/>
        </w:rPr>
        <w:t>After login the requested return path is ignored and the user lands on the default page instead of the route they originally requested. Recommendation: honor the post-auth redirect parameter.</w:t>
      </w:r>
    </w:p>
    <w:p>
      <w:pPr>
        <w:pStyle w:val="Heading2"/>
      </w:pPr>
      <w:r>
        <w:rPr>
          <w:color w:val="1F3355"/>
        </w:rPr>
        <w:t>F. Observability &amp; Infrastructure</w:t>
      </w:r>
    </w:p>
    <w:p>
      <w:pPr>
        <w:spacing w:after="40"/>
      </w:pPr>
      <w:r>
        <w:rPr>
          <w:b/>
          <w:color w:val="1F3355"/>
          <w:sz w:val="22"/>
        </w:rPr>
        <w:t xml:space="preserve">F-23 — Swagger documentation blank  </w:t>
      </w:r>
      <w:r>
        <w:rPr>
          <w:b/>
          <w:color w:val="B76E00"/>
          <w:sz w:val="19"/>
        </w:rPr>
        <w:t>[Medium · Open]</w:t>
      </w:r>
    </w:p>
    <w:p>
      <w:pPr>
        <w:spacing w:after="200"/>
      </w:pPr>
      <w:r>
        <w:rPr>
          <w:sz w:val="21"/>
        </w:rPr>
        <w:t>The interactive API documentation renders blank because its asset bundle is loaded from a CDN that is blocked in the environment. Recommendation: self-host the documentation assets.</w:t>
      </w:r>
    </w:p>
    <w:p>
      <w:pPr>
        <w:spacing w:after="40"/>
      </w:pPr>
      <w:r>
        <w:rPr>
          <w:b/>
          <w:color w:val="1F3355"/>
          <w:sz w:val="22"/>
        </w:rPr>
        <w:t xml:space="preserve">F-24 — Dead route  </w:t>
      </w:r>
      <w:r>
        <w:rPr>
          <w:b/>
          <w:color w:val="B76E00"/>
          <w:sz w:val="19"/>
        </w:rPr>
        <w:t>[Medium · Open]</w:t>
      </w:r>
    </w:p>
    <w:p>
      <w:pPr>
        <w:spacing w:after="200"/>
      </w:pPr>
      <w:r>
        <w:rPr>
          <w:sz w:val="21"/>
        </w:rPr>
        <w:t>A primary route returns 404 (dead link). Recommendation: remove the link or implement the route.</w:t>
      </w:r>
    </w:p>
    <w:p>
      <w:pPr>
        <w:spacing w:after="40"/>
      </w:pPr>
      <w:r>
        <w:rPr>
          <w:b/>
          <w:color w:val="1F3355"/>
          <w:sz w:val="22"/>
        </w:rPr>
        <w:t xml:space="preserve">F-25 — Request-level traces missing  </w:t>
      </w:r>
      <w:r>
        <w:rPr>
          <w:b/>
          <w:color w:val="B76E00"/>
          <w:sz w:val="19"/>
        </w:rPr>
        <w:t>[Medium · Open]</w:t>
      </w:r>
    </w:p>
    <w:p>
      <w:pPr>
        <w:spacing w:after="200"/>
      </w:pPr>
      <w:r>
        <w:rPr>
          <w:sz w:val="21"/>
        </w:rPr>
        <w:t>Distributed traces contain only database spans because the web framework is not instrumented, so request-level spans never reach the trace collector. Recommendation: enable framework instrumentation.</w:t>
      </w:r>
    </w:p>
    <w:p>
      <w:pPr>
        <w:pStyle w:val="Heading1"/>
      </w:pPr>
      <w:r>
        <w:rPr>
          <w:color w:val="1F3355"/>
        </w:rPr>
        <w:t>5. Conclusion &amp; Risk Posture</w:t>
      </w:r>
    </w:p>
    <w:p>
      <w:pPr>
        <w:spacing w:after="160"/>
      </w:pPr>
      <w:r>
        <w:rPr>
          <w:sz w:val="21"/>
        </w:rPr>
        <w:t>The strongest signal from this review is the gap between the platform's documented security posture and its actual behaviour. The repository's own threat-model and architecture documents describe controls that the implementation does not apply:</w:t>
      </w:r>
    </w:p>
    <w:p>
      <w:pPr>
        <w:pStyle w:val="ListBullet"/>
      </w:pPr>
      <w:r>
        <w:rPr>
          <w:b/>
        </w:rPr>
        <w:t xml:space="preserve">Claim: </w:t>
      </w:r>
      <w:r>
        <w:t>"Unauthenticated endpoint access … JWT Bearer required on all /api/** routes — Implemented"</w:t>
      </w:r>
    </w:p>
    <w:p>
      <w:pPr>
        <w:ind w:left="720"/>
      </w:pPr>
      <w:r>
        <w:rPr>
          <w:i/>
          <w:color w:val="555555"/>
        </w:rPr>
        <w:t>Reality: at the time of review no router carried an authentication dependency (F-01), and role-based authorization is applied to zero routes (F-03).</w:t>
      </w:r>
    </w:p>
    <w:p>
      <w:pPr>
        <w:pStyle w:val="ListBullet"/>
      </w:pPr>
      <w:r>
        <w:rPr>
          <w:b/>
        </w:rPr>
        <w:t xml:space="preserve">Claim: </w:t>
      </w:r>
      <w:r>
        <w:t>Architecture diagram: an "Authorization — Role-based access control" component (presales_lead · sme · admin)</w:t>
      </w:r>
    </w:p>
    <w:p>
      <w:pPr>
        <w:ind w:left="720"/>
      </w:pPr>
      <w:r>
        <w:rPr>
          <w:i/>
          <w:color w:val="555555"/>
        </w:rPr>
        <w:t>Reality: the authorization enforcer is imported by no route; the box exists on the diagram, not in the request path (F-03).</w:t>
      </w:r>
    </w:p>
    <w:p>
      <w:pPr>
        <w:pStyle w:val="ListBullet"/>
      </w:pPr>
      <w:r>
        <w:rPr>
          <w:b/>
        </w:rPr>
        <w:t xml:space="preserve">Claim: </w:t>
      </w:r>
      <w:r>
        <w:t>"Privilege escalation … enforces tenant isolation — Implemented"</w:t>
      </w:r>
    </w:p>
    <w:p>
      <w:pPr>
        <w:ind w:left="720"/>
      </w:pPr>
      <w:r>
        <w:rPr>
          <w:i/>
          <w:color w:val="555555"/>
        </w:rPr>
        <w:t>Reality: privilege escalation across roles was demonstrated — a low-privilege account performed an administrative write (F-03).</w:t>
      </w:r>
    </w:p>
    <w:p>
      <w:pPr>
        <w:pStyle w:val="ListBullet"/>
      </w:pPr>
      <w:r>
        <w:rPr>
          <w:b/>
        </w:rPr>
        <w:t xml:space="preserve">Claim: </w:t>
      </w:r>
      <w:r>
        <w:t>"Refresh token … httpOnly cookie, SameSite=Lax, Secure=prod-only — Implemented"</w:t>
      </w:r>
    </w:p>
    <w:p>
      <w:pPr>
        <w:ind w:left="720"/>
      </w:pPr>
      <w:r>
        <w:rPr>
          <w:i/>
          <w:color w:val="555555"/>
        </w:rPr>
        <w:t>Reality: that exact cookie configuration broke the browser authentication flow end-to-end (F-02).</w:t>
      </w:r>
    </w:p>
    <w:p>
      <w:pPr>
        <w:spacing w:after="160"/>
      </w:pPr>
      <w:r>
        <w:rPr>
          <w:sz w:val="21"/>
        </w:rPr>
        <w:t>In short: the architecture diagram contained an authorization component, but the enforcer was imported by zero routes. The lesson is not that the engineering is poor — the durable core is genuinely solid — but that security controls must be verified in the request path, not asserted in a diagram. The highest-priority remediations are to enforce authorization server-side (F-03), reconnect the approval workflow gate (F-05), validate stage transitions (F-06), and restore the AI subsystem (F-10).</w:t>
      </w:r>
    </w:p>
    <w:p>
      <w:pPr>
        <w:pStyle w:val="Heading1"/>
      </w:pPr>
      <w:r>
        <w:rPr>
          <w:color w:val="1F3355"/>
        </w:rPr>
        <w:t>Appendix A — Assessment Areas</w:t>
      </w:r>
    </w:p>
    <w:p>
      <w:pPr>
        <w:pStyle w:val="ListBullet"/>
      </w:pPr>
      <w:r>
        <w:t>1 — Core API &amp; infrastructure</w:t>
      </w:r>
    </w:p>
    <w:p>
      <w:pPr>
        <w:pStyle w:val="ListBullet"/>
      </w:pPr>
      <w:r>
        <w:t>2 — Authentication &amp; authorization</w:t>
      </w:r>
    </w:p>
    <w:p>
      <w:pPr>
        <w:pStyle w:val="ListBullet"/>
      </w:pPr>
      <w:r>
        <w:t>3 — Durable workflow execution</w:t>
      </w:r>
    </w:p>
    <w:p>
      <w:pPr>
        <w:pStyle w:val="ListBullet"/>
      </w:pPr>
      <w:r>
        <w:t>4 — Frontend routes</w:t>
      </w:r>
    </w:p>
    <w:p>
      <w:pPr>
        <w:pStyle w:val="ListBullet"/>
      </w:pPr>
      <w:r>
        <w:t>5 — Observability</w:t>
      </w:r>
    </w:p>
    <w:p>
      <w:pPr>
        <w:pStyle w:val="ListBullet"/>
      </w:pPr>
      <w:r>
        <w:t>6 — Proposals module</w:t>
      </w:r>
    </w:p>
    <w:p>
      <w:pPr>
        <w:pStyle w:val="ListBullet"/>
      </w:pPr>
      <w:r>
        <w:t>H — Human-in-the-loop workflow (end-to-end lifecycle)</w:t>
      </w:r>
    </w:p>
    <w:p>
      <w:pPr>
        <w:pStyle w:val="ListBullet"/>
      </w:pPr>
      <w:r>
        <w:t>7 — Approvals</w:t>
      </w:r>
    </w:p>
    <w:p>
      <w:pPr>
        <w:pStyle w:val="ListBullet"/>
      </w:pPr>
      <w:r>
        <w:t>8 — Analytics</w:t>
      </w:r>
    </w:p>
    <w:p>
      <w:pPr>
        <w:pStyle w:val="ListBullet"/>
      </w:pPr>
      <w:r>
        <w:t>9 — AI (copilot / agents / governance)</w:t>
      </w:r>
    </w:p>
    <w:p>
      <w:pPr>
        <w:pStyle w:val="ListBullet"/>
      </w:pPr>
      <w:r>
        <w:t>10 — Administration &amp; RBAC</w:t>
      </w:r>
    </w:p>
    <w:p>
      <w:pPr>
        <w:pStyle w:val="ListBullet"/>
      </w:pPr>
      <w:r>
        <w:t>11 — Stakeholders</w:t>
      </w:r>
    </w:p>
    <w:p>
      <w:pPr>
        <w:spacing w:after="160"/>
      </w:pPr>
      <w:r>
        <w:rPr>
          <w:sz w:val="19"/>
        </w:rPr>
        <w:t>Evidence (network captures, console logs and screenshots) was retained for each finding during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