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A1A" w:color="auto" w:val="clear"/>
        <w:spacing w:after="80" w:before="240"/>
        <w:jc w:val="center"/>
      </w:pPr>
      <w:r>
        <w:rPr>
          <w:b/>
          <w:bCs/>
          <w:color w:val="FFFFFF"/>
          <w:sz w:val="56"/>
          <w:szCs w:val="56"/>
        </w:rPr>
        <w:t xml:space="preserve">Gate 1 Peer Review Report</w:t>
      </w:r>
    </w:p>
    <w:p>
      <w:pPr>
        <w:shd w:fill="1A1A1A" w:color="auto" w:val="clear"/>
        <w:spacing w:after="240" w:before="0"/>
        <w:jc w:val="center"/>
      </w:pPr>
      <w:r>
        <w:rPr>
          <w:color w:val="CCCCCC"/>
          <w:sz w:val="22"/>
          <w:szCs w:val="22"/>
        </w:rPr>
        <w:t xml:space="preserve">SDD Developer Capability Evaluation  —  Employee Internal Transfer Digital Journey</w:t>
      </w:r>
    </w:p>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Author under review</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Sanjay Saha</w:t>
            </w:r>
          </w:p>
        </w:tc>
      </w:tr>
      <w:tr>
        <w:tc>
          <w:tcPr>
            <w:tcW w:type="dxa" w:w="2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Reviewer</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Soumyadeep  |  INT Delivery Leadership  |  Gate 1 Peer Review</w:t>
            </w:r>
          </w:p>
        </w:tc>
      </w:tr>
      <w:tr>
        <w:tc>
          <w:tcPr>
            <w:tcW w:type="dxa" w:w="2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Artefacts reviewed</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BRD.md, employee-internal-transfer.spec.md (v1.3 delta), constitution.md, project_context.md, status.md</w:t>
            </w:r>
          </w:p>
        </w:tc>
      </w:tr>
      <w:tr>
        <w:tc>
          <w:tcPr>
            <w:tcW w:type="dxa" w:w="2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SDD Stage</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Gate 1 Peer Review — treating as first review per instruction (ignoring v1.3 status field)</w:t>
            </w:r>
          </w:p>
        </w:tc>
      </w:tr>
      <w:tr>
        <w:tc>
          <w:tcPr>
            <w:tcW w:type="dxa" w:w="2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Review Date</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08 September 2026</w:t>
            </w:r>
          </w:p>
        </w:tc>
      </w:tr>
      <w:tr>
        <w:tc>
          <w:tcPr>
            <w:tcW w:type="dxa" w:w="2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Overall Verdict</w:t>
            </w:r>
          </w:p>
        </w:tc>
        <w:tc>
          <w:tcPr>
            <w:tcW w:type="dxa" w:w="6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APPROVED WITH CONDITIONS</w:t>
            </w:r>
          </w:p>
        </w:tc>
      </w:tr>
    </w:tbl>
    <w:p>
      <w:pPr>
        <w:spacing w:after="30" w:before="30"/>
      </w:pPr>
    </w:p>
    <w:p>
      <w:pPr>
        <w:spacing w:after="30" w:before="30"/>
      </w:pPr>
    </w:p>
    <w:p>
      <w:pPr>
        <w:shd w:fill="1A1A1A" w:color="auto" w:val="clear"/>
        <w:spacing w:after="120" w:before="340"/>
        <w:ind w:left="160"/>
      </w:pPr>
      <w:r>
        <w:rPr>
          <w:b/>
          <w:bCs/>
          <w:color w:val="FFFFFF"/>
          <w:sz w:val="26"/>
          <w:szCs w:val="26"/>
        </w:rPr>
        <w:t xml:space="preserve">1. Executive Summary</w:t>
      </w:r>
    </w:p>
    <w:p>
      <w:pPr>
        <w:spacing w:after="30" w:before="30"/>
      </w:pPr>
    </w:p>
    <w:p>
      <w:pPr>
        <w:spacing w:after="60" w:before="60"/>
      </w:pPr>
      <w:r>
        <w:rPr>
          <w:color w:val="1A1A1A"/>
          <w:sz w:val="21"/>
          <w:szCs w:val="21"/>
        </w:rPr>
        <w:t xml:space="preserve">Sanjay Saha's submission is distinctive in this review cycle for one structural characteristic that immediately sets it apart: the constitution.md is populated. It is the only submission among the candidates reviewed so far with an active, content-bearing project constitution — covering testing rules (Jest + Supertest against a real database, 80%/60% coverage floors), security rules (no PII beyond identity fields, rate-limiting decision required per endpoint, credentials in environment variables only), architectural constraints (PostgreSQL only, no ORM, Docker compose, no real external system connections in V1), performance targets (500ms), and a versioning rule (API v1/v2 separation). This matters because the constitution is what makes every other artefact reviewable against a consistent standard.</w:t>
      </w:r>
    </w:p>
    <w:p>
      <w:pPr>
        <w:spacing w:after="30" w:before="30"/>
      </w:pPr>
    </w:p>
    <w:p>
      <w:pPr>
        <w:spacing w:after="60" w:before="60"/>
      </w:pPr>
      <w:r>
        <w:rPr>
          <w:color w:val="1A1A1A"/>
          <w:sz w:val="21"/>
          <w:szCs w:val="21"/>
        </w:rPr>
        <w:t xml:space="preserve">The spec itself is honest and practically structured. The 'What we got here, in short' version history narrative — explaining v1.0 through v1.3 in plain language, naming the three problems found in Gate 1 and how each was fixed — is the most transparent spec evolution log in this review cycle. The status.md shows a complete 11-day delivery cadence with Gate 1, Gate 2, implementation, and a post-release spec delta all accounted for. The spec text is written in plain English throughout, deliberately accessible rather than technical — a choice that makes the ACs readable by a non-technical stakeholder without sacrificing precision.</w:t>
      </w:r>
    </w:p>
    <w:p>
      <w:pPr>
        <w:spacing w:after="30" w:before="30"/>
      </w:pPr>
    </w:p>
    <w:p>
      <w:pPr>
        <w:spacing w:after="60" w:before="60"/>
      </w:pPr>
      <w:r>
        <w:rPr>
          <w:color w:val="1A1A1A"/>
          <w:sz w:val="21"/>
          <w:szCs w:val="21"/>
        </w:rPr>
        <w:t xml:space="preserve">However, the submission has significant gaps relative to the business depth that the assessment evaluates. The BRD is a single, sparse entry written directly from the assignment brief with no open questions logged, no assumptions table, no actor breakdown, no journey stage mapping, and no business-vs-technical decision separation. The discovery analysis (referenced as background reading in the spec) was not submitted. Three consequential business decisions are embedded in the spec without justification or acknowledgement as assumptions: IT always receiving a task regardless of what changed, the employee confirmation step (an additional workflow stage not present in the source document), and the effective date's role after submission. These are not minor omissions — they each represent a business rule that a stakeholder would need to confirm before implementation.</w:t>
      </w:r>
    </w:p>
    <w:p>
      <w:pPr>
        <w:spacing w:after="30" w:before="30"/>
      </w:pPr>
    </w:p>
    <w:p>
      <w:pPr>
        <w:spacing w:after="60" w:before="60"/>
      </w:pPr>
      <w:r>
        <w:rPr>
          <w:color w:val="1A1A1A"/>
          <w:sz w:val="21"/>
          <w:szCs w:val="21"/>
        </w:rPr>
        <w:t xml:space="preserve">The Gate 1 outcome is Approved With Conditions.</w:t>
      </w:r>
    </w:p>
    <w:p>
      <w:pPr>
        <w:spacing w:after="30" w:before="30"/>
      </w:pPr>
    </w:p>
    <w:p>
      <w:pPr>
        <w:spacing w:after="30" w:before="30"/>
      </w:pPr>
    </w:p>
    <w:p>
      <w:pPr>
        <w:shd w:fill="1A1A1A" w:color="auto" w:val="clear"/>
        <w:spacing w:after="120" w:before="340"/>
        <w:ind w:left="160"/>
      </w:pPr>
      <w:r>
        <w:rPr>
          <w:b/>
          <w:bCs/>
          <w:color w:val="FFFFFF"/>
          <w:sz w:val="26"/>
          <w:szCs w:val="26"/>
        </w:rPr>
        <w:t xml:space="preserve">2. Capability Assessment Against the 10 HR Evaluation Dimensions</w:t>
      </w:r>
    </w:p>
    <w:p>
      <w:pPr>
        <w:spacing w:after="30" w:before="30"/>
      </w:pPr>
    </w:p>
    <w:p>
      <w:pPr>
        <w:spacing w:after="60" w:before="60"/>
      </w:pPr>
      <w:r>
        <w:rPr>
          <w:color w:val="1A1A1A"/>
          <w:sz w:val="21"/>
          <w:szCs w:val="21"/>
        </w:rPr>
        <w:t xml:space="preserve">Each dimension is evaluated against the submitted artefacts with specific citations. Ratings: Strong / Good / Adequate / Weak.</w:t>
      </w:r>
    </w:p>
    <w:p>
      <w:pPr>
        <w:spacing w:after="30" w:before="30"/>
      </w:pPr>
    </w:p>
    <w:p>
      <w:pPr>
        <w:spacing w:after="80" w:before="220"/>
      </w:pPr>
      <w:r>
        <w:rPr>
          <w:b/>
          <w:bCs/>
          <w:color w:val="1A1A1A"/>
          <w:sz w:val="23"/>
          <w:szCs w:val="23"/>
          <w:u w:val="single"/>
        </w:rPr>
        <w:t xml:space="preserve">Dimension 1 — Understand a Business Journey</w:t>
      </w:r>
    </w:p>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Rating</w:t>
            </w:r>
          </w:p>
        </w:tc>
        <w:tc>
          <w:tcPr>
            <w:tcW w:type="dxa" w:w="7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Adequate</w:t>
            </w:r>
          </w:p>
        </w:tc>
      </w:tr>
      <w:tr>
        <w:tc>
          <w:tcPr>
            <w:tcW w:type="dxa" w:w="1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What was done well</w:t>
            </w:r>
          </w:p>
        </w:tc>
        <w:tc>
          <w:tcPr>
            <w:tcW w:type="dxa" w:w="7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The spec's 'What this feature does (in one paragraph)' summary is the clearest plain-English journey description in this review cycle — it correctly identifies all the key actors, the sequential approval chain, the conditional downstream fan-out ('but only for the ones that actually apply to what's changing'), and the employee's single-status view. The project_context.md correctly identifies that Payroll, IT, and Facilities are conditional ('only if it actually applies') and is specific about the trigger condition for Facilities ('only gets involved if the location changes'). The status model correctly represents the terminal states (Rejected, Cancelled) and the intermediate states, and the spec notes explicitly why 'Submitted' covers two logical sub-states — the transparency about this design decision is good practice. The BRD honestly acknowledges it was written from the assessment brief without stakeholder interviews, and clearly labels unresolved items as 'not decided yet.'</w:t>
            </w:r>
          </w:p>
        </w:tc>
      </w:tr>
      <w:tr>
        <w:tc>
          <w:tcPr>
            <w:tcW w:type="dxa" w:w="1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What is missing</w:t>
            </w:r>
          </w:p>
        </w:tc>
        <w:tc>
          <w:tcPr>
            <w:tcW w:type="dxa" w:w="7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The BRD is a single entry with no actor breakdown, no journey stage mapping (the source document's 8-step manual process is not mapped to its digital equivalent), no business rules table, and no separation of known decisions from open questions. The discovery analysis (assessment/01-discovery-analysis.md) is referenced in the spec as background reading but was not submitted — this reviewer cannot assess whether open questions were identified and resolved, or silently assumed away.
Three business decisions are embedded in the spec without identification as decisions: (1) IT always receives a task regardless of what changed — the source document says IT 'may need to provision or remove access,' which is conditional, not universal. Why does a role-only change always require IT? This is not justified. (2) The employee confirmation step ('Ready For Confirmation' requiring an explicit employee sign-off before Completed) is not in the source document at all. The source document says 'employee receives confirmation' as step 8 — a notification, not a required action. Adding a mandatory final approval step changes the business journey materially and requires a business decision. (3) The effective date is collected and validated (14-day minimum) but its role after submission is never stated — what does it gate?</w:t>
            </w:r>
          </w:p>
        </w:tc>
      </w:tr>
    </w:tbl>
    <w:p>
      <w:pPr>
        <w:spacing w:after="30" w:before="30"/>
      </w:pPr>
    </w:p>
    <w:p>
      <w:pPr>
        <w:spacing w:after="80" w:before="220"/>
      </w:pPr>
      <w:r>
        <w:rPr>
          <w:b/>
          <w:bCs/>
          <w:color w:val="1A1A1A"/>
          <w:sz w:val="23"/>
          <w:szCs w:val="23"/>
          <w:u w:val="single"/>
        </w:rPr>
        <w:t xml:space="preserve">Dimension 2 — Identify Ambiguity and Missing Decisions</w:t>
      </w:r>
    </w:p>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Rating</w:t>
            </w:r>
          </w:p>
        </w:tc>
        <w:tc>
          <w:tcPr>
            <w:tcW w:type="dxa" w:w="7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Adequate</w:t>
            </w:r>
          </w:p>
        </w:tc>
      </w:tr>
      <w:tr>
        <w:tc>
          <w:tcPr>
            <w:tcW w:type="dxa" w:w="1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What was done well</w:t>
            </w:r>
          </w:p>
        </w:tc>
        <w:tc>
          <w:tcPr>
            <w:tcW w:type="dxa" w:w="7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The BRD's 'Not decided yet' section identifies three genuine open items: eligibility criteria (HR decides manually, no automated rules), cross-country transfers (out of scope), and real system integrations (future project). The spec's 'What we are NOT building in this version' section adds further items: real system connections, automatic eligibility rules, new-manager approval, cross-country transfers, email/push notifications, reopening rejected requests, and cancellation after downstream work has started. The spec is honest about the simplified authentication model (flagged as ADR-0002, 'not real security, clearly flagged as something to fix before real use'). The v1.0 to v1.3 version history in the spec shows that real problems were identified during review and correctly fixed — this demonstrates a working review process.</w:t>
            </w:r>
          </w:p>
        </w:tc>
      </w:tr>
      <w:tr>
        <w:tc>
          <w:tcPr>
            <w:tcW w:type="dxa" w:w="1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What is missing</w:t>
            </w:r>
          </w:p>
        </w:tc>
        <w:tc>
          <w:tcPr>
            <w:tcW w:type="dxa" w:w="7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No open questions log exists. The BRD lists three 'not decided yet' items, but these are framed as scope exclusions rather than open questions with business owners and resolution paths. The gap between the source document and the spec contains several embedded decisions that are not acknowledged as decisions at all:
(1) IT always triggered — this is a universal rule not justified in any artefact. The source document's 'may need to provision or remove access' is conditional. Why role-only changes require IT access changes is a business question that HR and IT should answer.
(2) Employee confirmation step — adding a mandatory step 9 (employee sign-off) to a source document that describes step 8 as 'employee receives confirmation' (a notification) requires a business owner to confirm this is the intended design.
(3) Fan-out trigger for Payroll — AC7 says Payroll triggers on department or role change. The source document says 'may need to be updated' with no condition stated. The trigger rule is a business decision (what compensation changes require Payroll involvement?) that should be acknowledged as an assumption.
(4) Rejection reason visibility to the employee — AC6 says 'the reason is saved on that item' when the Manager rejects, but no AC states whether the employee can see that reason when viewing their request. This is a consequential UX and HR-policy decision left implicit.</w:t>
            </w:r>
          </w:p>
        </w:tc>
      </w:tr>
    </w:tbl>
    <w:p>
      <w:pPr>
        <w:spacing w:after="30" w:before="30"/>
      </w:pPr>
    </w:p>
    <w:p>
      <w:pPr>
        <w:spacing w:after="80" w:before="220"/>
      </w:pPr>
      <w:r>
        <w:rPr>
          <w:b/>
          <w:bCs/>
          <w:color w:val="1A1A1A"/>
          <w:sz w:val="23"/>
          <w:szCs w:val="23"/>
          <w:u w:val="single"/>
        </w:rPr>
        <w:t xml:space="preserve">Dimension 3 — Convert Business Requirements into a Precise Specification</w:t>
      </w:r>
    </w:p>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Rating</w:t>
            </w:r>
          </w:p>
        </w:tc>
        <w:tc>
          <w:tcPr>
            <w:tcW w:type="dxa" w:w="7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Good</w:t>
            </w:r>
          </w:p>
        </w:tc>
      </w:tr>
      <w:tr>
        <w:tc>
          <w:tcPr>
            <w:tcW w:type="dxa" w:w="1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What was done well</w:t>
            </w:r>
          </w:p>
        </w:tc>
        <w:tc>
          <w:tcPr>
            <w:tcW w:type="dxa" w:w="7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The spec converts the source document's journey into a concrete, testable set of rules. The state machine is fully specified in ASCII diagram form with all transitions labelled and all terminal states named. The conditional fan-out rule (AC7) is specific and falsifiable: Payroll if department or role changes, Facilities if location changes, IT always. The cancellation boundary (AC11 vs AC12) is precisely defined — 'Submitted or HR Review' can cancel; anything past that cannot. The 'if a team doesn't need to be involved, no item is created for them at all — it's not just hidden, it simply doesn't exist' note in AC7 is excellent precision that prevents a common implementation misunderstanding. The spec's plain-English AC style makes each rule independently readable and verifiable by a non-technical reviewer. The constitution.md is populated with specific, checkable rules — 80% coverage floor for transfer/payroll data, real Postgres for backend tests, rate-limiting decision required per endpoint — making constitution compliance checks meaningful.</w:t>
            </w:r>
          </w:p>
        </w:tc>
      </w:tr>
      <w:tr>
        <w:tc>
          <w:tcPr>
            <w:tcW w:type="dxa" w:w="1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What is missing</w:t>
            </w:r>
          </w:p>
        </w:tc>
        <w:tc>
          <w:tcPr>
            <w:tcW w:type="dxa" w:w="7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The employee confirmation step (AC9/AC10, 'Ready For Confirmation' state) is introduced into the spec with no traceability to the BRD, no stated business justification, and no acknowledgement that it adds a step the source document does not require. The source document's step 8 is 'employee receives confirmation' — a passive receipt, not an active approval. Making the employee's explicit sign-off a required gate before Completed changes the business workflow. If a stakeholder later says 'why do employees have to confirm? they're already notified when it's done,' there is no documented decision to point to.
The effective date is in the API contract (YYYY-MM-DD field), validated (14-day minimum, AC3), and stored — but no AC or spec note states what it gates in the workflow. Does the transfer take effect immediately when Completed? On the effective date? Is the org record updated on completion or on the effective date? The spec is silent on all of these, despite the effective date being a first-class input.
The API contract lacks a HRIS master data endpoint. AC1 accepts proposedDepartment, proposedLocation, and proposedRole as strings — but no endpoint is defined for fetching the valid options for these fields. Without this, the submission form's dropdowns have no specified data source.</w:t>
            </w:r>
          </w:p>
        </w:tc>
      </w:tr>
    </w:tbl>
    <w:p>
      <w:pPr>
        <w:spacing w:after="30" w:before="30"/>
      </w:pPr>
    </w:p>
    <w:p>
      <w:pPr>
        <w:spacing w:after="80" w:before="220"/>
      </w:pPr>
      <w:r>
        <w:rPr>
          <w:b/>
          <w:bCs/>
          <w:color w:val="1A1A1A"/>
          <w:sz w:val="23"/>
          <w:szCs w:val="23"/>
          <w:u w:val="single"/>
        </w:rPr>
        <w:t xml:space="preserve">Dimension 4 — Define Testable Acceptance Criteria</w:t>
      </w:r>
    </w:p>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Rating</w:t>
            </w:r>
          </w:p>
        </w:tc>
        <w:tc>
          <w:tcPr>
            <w:tcW w:type="dxa" w:w="7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Good</w:t>
            </w:r>
          </w:p>
        </w:tc>
      </w:tr>
      <w:tr>
        <w:tc>
          <w:tcPr>
            <w:tcW w:type="dxa" w:w="1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What was done well</w:t>
            </w:r>
          </w:p>
        </w:tc>
        <w:tc>
          <w:tcPr>
            <w:tcW w:type="dxa" w:w="7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17 ACs (16 in v1.2, plus proposed AC17). Each is written in plain English with a concrete Given/When/Then structure implied by the 'If... then...' phrasing, even if not formatted in that template. ACs are individually numbered and stable (AC15 and AC16 added after Gate 1 are labelled as such, preserving the original numbering). AC7 is the most precise fan-out AC in this review cycle — it specifies not only which teams get tasks but explicitly states that non-applicable teams get no item at all (not hidden, not skipped — simply not created). AC11 is precise on the cancellation propagation: 'every still-Pending item is marked Skipped' (not deleted, not ignored). AC12 defines the exact status boundary for cancellation blocking. AC16 (team member pending-item visibility) is scoped correctly — role-scoped, not employee-scoped, with an ADR reference. AC17 (the proposed UI delta) correctly identifies itself as frontend-only and explicitly states it does not affect API07's contract.</w:t>
            </w:r>
          </w:p>
        </w:tc>
      </w:tr>
      <w:tr>
        <w:tc>
          <w:tcPr>
            <w:tcW w:type="dxa" w:w="1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What is missing</w:t>
            </w:r>
          </w:p>
        </w:tc>
        <w:tc>
          <w:tcPr>
            <w:tcW w:type="dxa" w:w="7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No AC is written in explicit Given/When/Then format — the 'If... then...' style is readable but is not the SDD standard and is not directly machine-translatable to test format. This is a stylistic gap, not a content gap, but it matters for the claim that ACs convert 1:1 to test cases.
Four business decisions embedded as ACs lack justification: IT always triggering (AC7), the employee confirmation step (AC9/AC10), the effective date's role (no AC), and the rejection reason visibility to the employee (no AC). The test cases cover AC7's fan-out combinations (UT07, UT08) but only test two of the possible combinations — a role-only change (no dept, no location) would give no PAYROLL item, yes IT (always), no FACILITIES, which is not tested. No test case covers the employee viewing a rejected request and seeing or not seeing the rejection reason.</w:t>
            </w:r>
          </w:p>
        </w:tc>
      </w:tr>
    </w:tbl>
    <w:p>
      <w:pPr>
        <w:spacing w:after="30" w:before="30"/>
      </w:pPr>
    </w:p>
    <w:p>
      <w:pPr>
        <w:spacing w:after="80" w:before="220"/>
      </w:pPr>
      <w:r>
        <w:rPr>
          <w:b/>
          <w:bCs/>
          <w:color w:val="1A1A1A"/>
          <w:sz w:val="23"/>
          <w:szCs w:val="23"/>
          <w:u w:val="single"/>
        </w:rPr>
        <w:t xml:space="preserve">Dimension 5 — Define API Contracts</w:t>
      </w:r>
    </w:p>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Rating</w:t>
            </w:r>
          </w:p>
        </w:tc>
        <w:tc>
          <w:tcPr>
            <w:tcW w:type="dxa" w:w="7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Good</w:t>
            </w:r>
          </w:p>
        </w:tc>
      </w:tr>
      <w:tr>
        <w:tc>
          <w:tcPr>
            <w:tcW w:type="dxa" w:w="1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What was done well</w:t>
            </w:r>
          </w:p>
        </w:tc>
        <w:tc>
          <w:tcPr>
            <w:tcW w:type="dxa" w:w="7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Seven endpoints are defined in the spec (API01 through API07) with request payloads, success response shapes, and error tables for each. The error codes are consistent (VALIDATION_ERROR, UNAUTHENTICATED, ACTIVE_REQUEST_EXISTS, NOT_ASSIGNEE, INVALID_STATE, NOT_FOUND, INVALID_TRANSITION) and apply appropriately per endpoint. The API02 response includes the full actions array with all stakeholder-action fields — this is the richest response shape in this review cycle, capturing the complete audit trail in a single GET. API07 (stakeholder pending-item list) is the only candidate to specify this as a named API endpoint rather than leaving it implicit. The GET /api/v1/transfer-requests (API03) correctly scopes to 'own requests' and the 401 guard is present on every endpoint. API04 uses PATCH with a decision field rather than separate approve/reject endpoints — a clean design choice.</w:t>
            </w:r>
          </w:p>
        </w:tc>
      </w:tr>
      <w:tr>
        <w:tc>
          <w:tcPr>
            <w:tcW w:type="dxa" w:w="1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What is missing</w:t>
            </w:r>
          </w:p>
        </w:tc>
        <w:tc>
          <w:tcPr>
            <w:tcW w:type="dxa" w:w="7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No HRIS master data endpoint exists. The form requires the employee to select a department, location, and role — but there is no GET endpoint for fetching the valid options. API01 accepts these as plain strings with no validation against a governed list specified in any AC (unlike other submissions that include an AC for invalid HRIS selection).
API02 returns a 403 only implicitly — the spec says 'if someone who is neither the employee nor assigned to one of the to-do items tries to look at a request's details, they get a 403 error' (AC14), but API02's error table only lists 401 and 404. The 403 is missing from the endpoint's own error table.
The API endpoint numbering is non-sequential in the spec (API01, API02, API03, API04, API07, API05, API06) — API07 appears between API04 and API05 in the document order. While this does not affect functionality, it signals that API07 was added later (after Gate 1) and the document was not renumbered. This is minor but could confuse an implementer reading the spec top-to-bottom.</w:t>
            </w:r>
          </w:p>
        </w:tc>
      </w:tr>
    </w:tbl>
    <w:p>
      <w:pPr>
        <w:spacing w:after="30" w:before="30"/>
      </w:pPr>
    </w:p>
    <w:p>
      <w:pPr>
        <w:spacing w:after="80" w:before="220"/>
      </w:pPr>
      <w:r>
        <w:rPr>
          <w:b/>
          <w:bCs/>
          <w:color w:val="1A1A1A"/>
          <w:sz w:val="23"/>
          <w:szCs w:val="23"/>
          <w:u w:val="single"/>
        </w:rPr>
        <w:t xml:space="preserve">Dimension 6 — Design the Technical Approach</w:t>
      </w:r>
    </w:p>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Rating</w:t>
            </w:r>
          </w:p>
        </w:tc>
        <w:tc>
          <w:tcPr>
            <w:tcW w:type="dxa" w:w="7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Good</w:t>
            </w:r>
          </w:p>
        </w:tc>
      </w:tr>
      <w:tr>
        <w:tc>
          <w:tcPr>
            <w:tcW w:type="dxa" w:w="1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What was done well</w:t>
            </w:r>
          </w:p>
        </w:tc>
        <w:tc>
          <w:tcPr>
            <w:tcW w:type="dxa" w:w="7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The project_context.md describes the technical approach clearly: React frontend, Node.js + Express backend, PostgreSQL with two main tables (transfer requests + stakeholder actions), Docker compose, plain SQL via pg (no ORM). The ADR references (ADR-0001 for no real external system connections, ADR-0002 for simplified authentication) indicate that significant architectural decisions were documented and not left implicit. The constitution correctly limits to PostgreSQL only and requires a written reason (ADR) before introducing a different datastore. The status.md references a technical plan (Day 5 — 'database design, how things are built, what happens if something goes wrong or two things happen at once') and two ADRs, indicating the technical approach was planned before implementation.</w:t>
            </w:r>
          </w:p>
        </w:tc>
      </w:tr>
      <w:tr>
        <w:tc>
          <w:tcPr>
            <w:tcW w:type="dxa" w:w="1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What is missing</w:t>
            </w:r>
          </w:p>
        </w:tc>
        <w:tc>
          <w:tcPr>
            <w:tcW w:type="dxa" w:w="7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The technical plan, ADR-0001, and ADR-0002 were not submitted. These are referenced extensively but not available for review. Specifically: ADR-0001 (no real external system connections) is the architectural decision that explains why Payroll/IT/Facilities work within the same portal rather than receiving API calls to external systems — a significant constraint that shapes the entire integration model. ADR-0002 (simplified authentication) is referenced in the constitution, the spec, and the project context — but its content is unavailable, meaning this reviewer cannot assess what the simplified auth model is or whether it creates security gaps beyond the acknowledged placeholder nature. The constitution says 'every endpoint needs a clear decision about rate limiting — even if the decision is "we don't need one, here's why"' — but no spec AC or NFR section shows that this constitution rule was applied per endpoint.</w:t>
            </w:r>
          </w:p>
        </w:tc>
      </w:tr>
    </w:tbl>
    <w:p>
      <w:pPr>
        <w:spacing w:after="30" w:before="30"/>
      </w:pPr>
    </w:p>
    <w:p>
      <w:pPr>
        <w:spacing w:after="80" w:before="220"/>
      </w:pPr>
      <w:r>
        <w:rPr>
          <w:b/>
          <w:bCs/>
          <w:color w:val="1A1A1A"/>
          <w:sz w:val="23"/>
          <w:szCs w:val="23"/>
          <w:u w:val="single"/>
        </w:rPr>
        <w:t xml:space="preserve">Dimension 7 — Decompose Work into Independently Verifiable Tasks</w:t>
      </w:r>
    </w:p>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Rating</w:t>
            </w:r>
          </w:p>
        </w:tc>
        <w:tc>
          <w:tcPr>
            <w:tcW w:type="dxa" w:w="7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Adequate</w:t>
            </w:r>
          </w:p>
        </w:tc>
      </w:tr>
      <w:tr>
        <w:tc>
          <w:tcPr>
            <w:tcW w:type="dxa" w:w="1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What was done well</w:t>
            </w:r>
          </w:p>
        </w:tc>
        <w:tc>
          <w:tcPr>
            <w:tcW w:type="dxa" w:w="7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The status.md Day 6 log entry records that the plan was broken into 10 small tasks with AI prompts written per task. The status.md also records a clean delivery cadence: spec → Gate 1 → plan → tasks → implementation → Gate 2 → post-release delta → Gate 1 for delta. This is the most complete delivery lifecycle log in this review cycle. The spec's AC numbering and the test case table together provide a natural task boundary — each AC group (submission/validation, manager decision, HR decision, downstream, cancellation) represents an independently deployable increment.</w:t>
            </w:r>
          </w:p>
        </w:tc>
      </w:tr>
      <w:tr>
        <w:tc>
          <w:tcPr>
            <w:tcW w:type="dxa" w:w="1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What is missing</w:t>
            </w:r>
          </w:p>
        </w:tc>
        <w:tc>
          <w:tcPr>
            <w:tcW w:type="dxa" w:w="7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The task decomposition document (referenced in Day 6 of the status log) was not submitted. This reviewer cannot verify whether the 10 tasks were AC-driven, independently testable, and sequenced correctly. The status.md references assessment/05-tasks.md but the file is not present. Given the complexity of the stakeholder-action model (parallel downstream tasks, skipping on cancellation, employee confirmation gate), the task sequencing for the downstream phase in particular would benefit from explicit review.</w:t>
            </w:r>
          </w:p>
        </w:tc>
      </w:tr>
    </w:tbl>
    <w:p>
      <w:pPr>
        <w:spacing w:after="30" w:before="30"/>
      </w:pPr>
    </w:p>
    <w:p>
      <w:pPr>
        <w:spacing w:after="80" w:before="220"/>
      </w:pPr>
      <w:r>
        <w:rPr>
          <w:b/>
          <w:bCs/>
          <w:color w:val="1A1A1A"/>
          <w:sz w:val="23"/>
          <w:szCs w:val="23"/>
          <w:u w:val="single"/>
        </w:rPr>
        <w:t xml:space="preserve">Dimension 8 — Apply Test-First Development</w:t>
      </w:r>
    </w:p>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Rating</w:t>
            </w:r>
          </w:p>
        </w:tc>
        <w:tc>
          <w:tcPr>
            <w:tcW w:type="dxa" w:w="7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Strong</w:t>
            </w:r>
          </w:p>
        </w:tc>
      </w:tr>
      <w:tr>
        <w:tc>
          <w:tcPr>
            <w:tcW w:type="dxa" w:w="1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What was done well</w:t>
            </w:r>
          </w:p>
        </w:tc>
        <w:tc>
          <w:tcPr>
            <w:tcW w:type="dxa" w:w="7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The constitution mandates test-first explicitly: 'Every API endpoint and every action that changes something must have tests, written before the code — no skipping this, even for simple endpoints.' This is the only submission where test-first is a constitution rule rather than a stated practice. The spec's test case table (UT01 through UT18) maps every AC to at least one test case, with UT07 and UT08 providing two distinct fan-out combinations for AC7. The status.md confirms implementation on Days 7–9 with a reference to Gate 2 evidence. The constitution specifies Jest + Supertest against a real Postgres database — not mocks — which is the most rigorous test environment specification in this review cycle. UT12 tests cancellation during HR Review with a mix of already-done and still-pending actions, verifying the Skipped propagation rule specifically.</w:t>
            </w:r>
          </w:p>
        </w:tc>
      </w:tr>
      <w:tr>
        <w:tc>
          <w:tcPr>
            <w:tcW w:type="dxa" w:w="1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What is missing</w:t>
            </w:r>
          </w:p>
        </w:tc>
        <w:tc>
          <w:tcPr>
            <w:tcW w:type="dxa" w:w="7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No RED test evidence is present in this submission package. Gate 2 evidence is referenced (assessment/10-gate2-evidence.md) but not submitted. The constitution's 80%/60% coverage floors cannot be verified. A role-only-change fan-out combination (no dept change, no location change, only role change) is not tested — UT07 tests 'dept+role same, location different' and UT08 tests 'dept different, location same', but a 'role different, dept+location same' scenario would produce: yes PAYROLL (role changed), no FACILITIES (location same), yes IT (always) — this specific combination is not in the test table. No test case covers the employee attempting to confirm before the request reaches Ready For Confirmation (the INVALID_STATE path for API05).</w:t>
            </w:r>
          </w:p>
        </w:tc>
      </w:tr>
    </w:tbl>
    <w:p>
      <w:pPr>
        <w:spacing w:after="30" w:before="30"/>
      </w:pPr>
    </w:p>
    <w:p>
      <w:pPr>
        <w:spacing w:after="80" w:before="220"/>
      </w:pPr>
      <w:r>
        <w:rPr>
          <w:b/>
          <w:bCs/>
          <w:color w:val="1A1A1A"/>
          <w:sz w:val="23"/>
          <w:szCs w:val="23"/>
          <w:u w:val="single"/>
        </w:rPr>
        <w:t xml:space="preserve">Dimension 9 — Handle Integration, Security and Failure Scenarios</w:t>
      </w:r>
    </w:p>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Rating</w:t>
            </w:r>
          </w:p>
        </w:tc>
        <w:tc>
          <w:tcPr>
            <w:tcW w:type="dxa" w:w="7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Good</w:t>
            </w:r>
          </w:p>
        </w:tc>
      </w:tr>
      <w:tr>
        <w:tc>
          <w:tcPr>
            <w:tcW w:type="dxa" w:w="1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What was done well</w:t>
            </w:r>
          </w:p>
        </w:tc>
        <w:tc>
          <w:tcPr>
            <w:tcW w:type="dxa" w:w="7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The constitution's security rules are the most detailed in this review cycle: no PII beyond identity fields in logs at any level, no salary/compensation data stored in this feature, credentials only in environment variables, rate-limiting decision required per endpoint. API04's 403 NOT_ASSIGNEE error correctly prevents a team member from acting on another team's task. AC15 (added after Gate 1 Finding 1) closes the authorization hole where anyone could act on any action item. AC16 scopes the stakeholder pending-item view to the authenticated caller only. The cancellation propagation (AC11: still-Pending items marked Skipped, already-Completed items unchanged) correctly handles the partial-completion scenario. The constitution's NFR-04 equivalent (no real external system connections — ADR-0001) correctly identifies that the integration architecture is a placeholder for V1.</w:t>
            </w:r>
          </w:p>
        </w:tc>
      </w:tr>
      <w:tr>
        <w:tc>
          <w:tcPr>
            <w:tcW w:type="dxa" w:w="1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What is missing</w:t>
            </w:r>
          </w:p>
        </w:tc>
        <w:tc>
          <w:tcPr>
            <w:tcW w:type="dxa" w:w="7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Three failure scenarios are unspecified:
(1) What happens if a downstream task (Payroll/IT/Facilities) is never completed? The 'Ready For Confirmation' state requires all created tasks to be marked Completed (AC9). If a team never acts, the request is stuck in In Progress indefinitely. No timeout, escalation, or 'mark as not required' mechanism is specified for this path. The source document's 'Facilities may need to arrange...' wording implies that sometimes no action is needed — the spec addresses this only by saying teams don't get a task if not applicable, but once a task is created, there is no path out if the team never acts.
(2) No AC covers what happens when the same employee tries to confirm a request that is not yet Ready For Confirmation — the API05 error table lists INVALID_STATE but no AC names this scenario as a requirement.
(3) The constitution requires a rate-limiting decision per endpoint, but no spec AC or API contract entry shows that this rule was applied. A constitution compliance gap — the rule exists but its application is not evidenced in the submitted artefacts.</w:t>
            </w:r>
          </w:p>
        </w:tc>
      </w:tr>
    </w:tbl>
    <w:p>
      <w:pPr>
        <w:spacing w:after="30" w:before="30"/>
      </w:pPr>
    </w:p>
    <w:p>
      <w:pPr>
        <w:spacing w:after="80" w:before="220"/>
      </w:pPr>
      <w:r>
        <w:rPr>
          <w:b/>
          <w:bCs/>
          <w:color w:val="1A1A1A"/>
          <w:sz w:val="23"/>
          <w:szCs w:val="23"/>
          <w:u w:val="single"/>
        </w:rPr>
        <w:t xml:space="preserve">Dimension 10 — Maintain Traceability from Requirement to Implementation</w:t>
      </w:r>
    </w:p>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Rating</w:t>
            </w:r>
          </w:p>
        </w:tc>
        <w:tc>
          <w:tcPr>
            <w:tcW w:type="dxa" w:w="7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Good</w:t>
            </w:r>
          </w:p>
        </w:tc>
      </w:tr>
      <w:tr>
        <w:tc>
          <w:tcPr>
            <w:tcW w:type="dxa" w:w="1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What was done well</w:t>
            </w:r>
          </w:p>
        </w:tc>
        <w:tc>
          <w:tcPr>
            <w:tcW w:type="dxa" w:w="7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The spec carries a single BRD reference (BRD-001) in the Linked BRD field. The test case table maps every UT to its AC. The spec version history (v1.0 → v1.1 → v1.2 → v1.3) is the most complete spec evolution narrative in this review cycle — each change is described, the reason is given, and the change is labelled in the AC list with its version (AC15 and AC16 labelled 'added after Gate 1'). The status.md Day-by-day log provides an execution-level audit trail of what was done on each day. The constitution's versioning rule (API v1/v2 for breaking changes) provides a forward traceability commitment for API changes.</w:t>
            </w:r>
          </w:p>
        </w:tc>
      </w:tr>
      <w:tr>
        <w:tc>
          <w:tcPr>
            <w:tcW w:type="dxa" w:w="16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bCs/>
                <w:color w:val="1A1A1A"/>
                <w:sz w:val="19"/>
                <w:szCs w:val="19"/>
              </w:rPr>
              <w:t xml:space="preserve">What is missing</w:t>
            </w:r>
          </w:p>
        </w:tc>
        <w:tc>
          <w:tcPr>
            <w:tcW w:type="dxa" w:w="7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No formal traceability matrix exists. The spec maps test cases to ACs but does not map ACs to FRs or BRD entries. There is no BR-to-AC mapping — BRD-001 is the only BRD entry and it is a summary rather than a set of numbered requirements, making individual requirement traceability impossible. The discovery analysis (assessment/01-discovery-analysis.md) and technical plan (assessment/04-plan.md) are referenced but not submitted. The Gate 2 evidence, task decomposition, and implementation summary are also referenced but absent. As a Gate 1 submission, the most critical missing artefact is the discovery analysis — it is listed as 'background reading' in the spec, implying it exists, but without it this reviewer cannot verify that open questions were raised and resolved.</w:t>
            </w:r>
          </w:p>
        </w:tc>
      </w:tr>
    </w:tbl>
    <w:p>
      <w:pPr>
        <w:spacing w:after="30" w:before="30"/>
      </w:pPr>
    </w:p>
    <w:p>
      <w:pPr>
        <w:spacing w:after="30" w:before="30"/>
      </w:pPr>
    </w:p>
    <w:p>
      <w:pPr>
        <w:shd w:fill="1A1A1A" w:color="auto" w:val="clear"/>
        <w:spacing w:after="120" w:before="340"/>
        <w:ind w:left="160"/>
      </w:pPr>
      <w:r>
        <w:rPr>
          <w:b/>
          <w:bCs/>
          <w:color w:val="FFFFFF"/>
          <w:sz w:val="26"/>
          <w:szCs w:val="26"/>
        </w:rPr>
        <w:t xml:space="preserve">3. Capability Summary</w:t>
      </w:r>
    </w:p>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200"/>
        <w:gridCol w:w="3960"/>
      </w:tblGrid>
      <w:tr>
        <w:trPr>
          <w:tblHeader/>
        </w:trPr>
        <w:tc>
          <w:tcPr>
            <w:tcW w:type="dxa" w:w="400"/>
            <w:tcBorders>
              <w:top w:val="single" w:color="FFFFFF" w:sz="4"/>
              <w:left w:val="single" w:color="FFFFFF" w:sz="4"/>
              <w:bottom w:val="single" w:color="FFFFFF" w:sz="4"/>
              <w:right w:val="single" w:color="FFFFFF" w:sz="4"/>
            </w:tcBorders>
            <w:shd w:fill="1A1A1A" w:color="auto" w:val="clear"/>
            <w:tcMar>
              <w:top w:type="dxa" w:w="80"/>
              <w:left w:type="dxa" w:w="120"/>
              <w:bottom w:type="dxa" w:w="80"/>
              <w:right w:type="dxa" w:w="120"/>
            </w:tcMar>
          </w:tcPr>
          <w:p>
            <w:pPr>
              <w:spacing w:after="0" w:before="0"/>
            </w:pPr>
            <w:r>
              <w:rPr>
                <w:b/>
                <w:bCs/>
                <w:color w:val="FFFFFF"/>
                <w:sz w:val="19"/>
                <w:szCs w:val="19"/>
              </w:rPr>
              <w:t xml:space="preserve">#</w:t>
            </w:r>
          </w:p>
        </w:tc>
        <w:tc>
          <w:tcPr>
            <w:tcW w:type="dxa" w:w="3800"/>
            <w:tcBorders>
              <w:top w:val="single" w:color="FFFFFF" w:sz="4"/>
              <w:left w:val="single" w:color="FFFFFF" w:sz="4"/>
              <w:bottom w:val="single" w:color="FFFFFF" w:sz="4"/>
              <w:right w:val="single" w:color="FFFFFF" w:sz="4"/>
            </w:tcBorders>
            <w:shd w:fill="1A1A1A" w:color="auto" w:val="clear"/>
            <w:tcMar>
              <w:top w:type="dxa" w:w="80"/>
              <w:left w:type="dxa" w:w="120"/>
              <w:bottom w:type="dxa" w:w="80"/>
              <w:right w:type="dxa" w:w="120"/>
            </w:tcMar>
          </w:tcPr>
          <w:p>
            <w:pPr>
              <w:spacing w:after="0" w:before="0"/>
            </w:pPr>
            <w:r>
              <w:rPr>
                <w:b/>
                <w:bCs/>
                <w:color w:val="FFFFFF"/>
                <w:sz w:val="19"/>
                <w:szCs w:val="19"/>
              </w:rPr>
              <w:t xml:space="preserve">Capability</w:t>
            </w:r>
          </w:p>
        </w:tc>
        <w:tc>
          <w:tcPr>
            <w:tcW w:type="dxa" w:w="1200"/>
            <w:tcBorders>
              <w:top w:val="single" w:color="FFFFFF" w:sz="4"/>
              <w:left w:val="single" w:color="FFFFFF" w:sz="4"/>
              <w:bottom w:val="single" w:color="FFFFFF" w:sz="4"/>
              <w:right w:val="single" w:color="FFFFFF" w:sz="4"/>
            </w:tcBorders>
            <w:shd w:fill="1A1A1A" w:color="auto" w:val="clear"/>
            <w:tcMar>
              <w:top w:type="dxa" w:w="80"/>
              <w:left w:type="dxa" w:w="120"/>
              <w:bottom w:type="dxa" w:w="80"/>
              <w:right w:type="dxa" w:w="120"/>
            </w:tcMar>
          </w:tcPr>
          <w:p>
            <w:pPr>
              <w:spacing w:after="0" w:before="0"/>
            </w:pPr>
            <w:r>
              <w:rPr>
                <w:b/>
                <w:bCs/>
                <w:color w:val="FFFFFF"/>
                <w:sz w:val="19"/>
                <w:szCs w:val="19"/>
              </w:rPr>
              <w:t xml:space="preserve">Rating</w:t>
            </w:r>
          </w:p>
        </w:tc>
        <w:tc>
          <w:tcPr>
            <w:tcW w:type="dxa" w:w="3960"/>
            <w:tcBorders>
              <w:top w:val="single" w:color="FFFFFF" w:sz="4"/>
              <w:left w:val="single" w:color="FFFFFF" w:sz="4"/>
              <w:bottom w:val="single" w:color="FFFFFF" w:sz="4"/>
              <w:right w:val="single" w:color="FFFFFF" w:sz="4"/>
            </w:tcBorders>
            <w:shd w:fill="1A1A1A" w:color="auto" w:val="clear"/>
            <w:tcMar>
              <w:top w:type="dxa" w:w="80"/>
              <w:left w:type="dxa" w:w="120"/>
              <w:bottom w:type="dxa" w:w="80"/>
              <w:right w:type="dxa" w:w="120"/>
            </w:tcMar>
          </w:tcPr>
          <w:p>
            <w:pPr>
              <w:spacing w:after="0" w:before="0"/>
            </w:pPr>
            <w:r>
              <w:rPr>
                <w:b/>
                <w:bCs/>
                <w:color w:val="FFFFFF"/>
                <w:sz w:val="19"/>
                <w:szCs w:val="19"/>
              </w:rPr>
              <w:t xml:space="preserve">Primary Evidence / Gap</w:t>
            </w:r>
          </w:p>
        </w:tc>
      </w:tr>
      <w:tr>
        <w:tc>
          <w:tcPr>
            <w:tcW w:type="dxa" w:w="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center"/>
            </w:pPr>
            <w:r>
              <w:rPr>
                <w:b/>
                <w:bCs/>
                <w:color w:val="1A1A1A"/>
                <w:sz w:val="19"/>
                <w:szCs w:val="19"/>
              </w:rPr>
              <w:t xml:space="preserve">1</w:t>
            </w:r>
          </w:p>
        </w:tc>
        <w:tc>
          <w:tcPr>
            <w:tcW w:type="dxa" w:w="38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Understand a business journey</w:t>
            </w:r>
          </w:p>
        </w:tc>
        <w:tc>
          <w:tcPr>
            <w:tcW w:type="dxa" w:w="1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Adequate</w:t>
            </w:r>
          </w:p>
        </w:tc>
        <w:tc>
          <w:tcPr>
            <w:tcW w:type="dxa" w:w="3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8"/>
                <w:szCs w:val="18"/>
              </w:rPr>
              <w:t xml:space="preserve">Plain-English journey summary is clear and correct. Conditional downstream involvement understood. Gap: no actor table, no journey stage mapping, no open questions log, three embedded business decisions (IT always triggers, employee confirmation step, effective date role) without justification.</w:t>
            </w:r>
          </w:p>
        </w:tc>
      </w:tr>
      <w:tr>
        <w:tc>
          <w:tcPr>
            <w:tcW w:type="dxa" w:w="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center"/>
            </w:pPr>
            <w:r>
              <w:rPr>
                <w:b/>
                <w:bCs/>
                <w:color w:val="1A1A1A"/>
                <w:sz w:val="19"/>
                <w:szCs w:val="19"/>
              </w:rPr>
              <w:t xml:space="preserve">2</w:t>
            </w:r>
          </w:p>
        </w:tc>
        <w:tc>
          <w:tcPr>
            <w:tcW w:type="dxa" w:w="38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Identify ambiguity and missing decisions</w:t>
            </w:r>
          </w:p>
        </w:tc>
        <w:tc>
          <w:tcPr>
            <w:tcW w:type="dxa" w:w="1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Adequate</w:t>
            </w:r>
          </w:p>
        </w:tc>
        <w:tc>
          <w:tcPr>
            <w:tcW w:type="dxa" w:w="3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8"/>
                <w:szCs w:val="18"/>
              </w:rPr>
              <w:t xml:space="preserve">BRD 'Not decided yet' section and spec out-of-scope list identify real exclusions. ADR references show significant decisions were made. Gap: no open questions log, no assumptions table, no business-vs-technical decision separation. Four implicit decisions not acknowledged as decisions.</w:t>
            </w:r>
          </w:p>
        </w:tc>
      </w:tr>
      <w:tr>
        <w:tc>
          <w:tcPr>
            <w:tcW w:type="dxa" w:w="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center"/>
            </w:pPr>
            <w:r>
              <w:rPr>
                <w:b/>
                <w:bCs/>
                <w:color w:val="1A1A1A"/>
                <w:sz w:val="19"/>
                <w:szCs w:val="19"/>
              </w:rPr>
              <w:t xml:space="preserve">3</w:t>
            </w:r>
          </w:p>
        </w:tc>
        <w:tc>
          <w:tcPr>
            <w:tcW w:type="dxa" w:w="38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Convert business requirements into a precise spec</w:t>
            </w:r>
          </w:p>
        </w:tc>
        <w:tc>
          <w:tcPr>
            <w:tcW w:type="dxa" w:w="1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Good</w:t>
            </w:r>
          </w:p>
        </w:tc>
        <w:tc>
          <w:tcPr>
            <w:tcW w:type="dxa" w:w="3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8"/>
                <w:szCs w:val="18"/>
              </w:rPr>
              <w:t xml:space="preserve">State machine complete; fan-out rule specific; cancellation boundary precise; constitution populated and specific. Gap: employee confirmation step without BRD justification; effective date role unstated; no HRIS master data endpoint; 403 missing from API02 error table.</w:t>
            </w:r>
          </w:p>
        </w:tc>
      </w:tr>
      <w:tr>
        <w:tc>
          <w:tcPr>
            <w:tcW w:type="dxa" w:w="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center"/>
            </w:pPr>
            <w:r>
              <w:rPr>
                <w:b/>
                <w:bCs/>
                <w:color w:val="1A1A1A"/>
                <w:sz w:val="19"/>
                <w:szCs w:val="19"/>
              </w:rPr>
              <w:t xml:space="preserve">4</w:t>
            </w:r>
          </w:p>
        </w:tc>
        <w:tc>
          <w:tcPr>
            <w:tcW w:type="dxa" w:w="38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Define testable acceptance criteria</w:t>
            </w:r>
          </w:p>
        </w:tc>
        <w:tc>
          <w:tcPr>
            <w:tcW w:type="dxa" w:w="1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Good</w:t>
            </w:r>
          </w:p>
        </w:tc>
        <w:tc>
          <w:tcPr>
            <w:tcW w:type="dxa" w:w="3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8"/>
                <w:szCs w:val="18"/>
              </w:rPr>
              <w:t xml:space="preserve">17 ACs, all individually numbered, plain-English readable, AC7 fan-out precision is strong. Gap: If/Then format not Given/When/Then; role-only-change fan-out combination not tested; rejection reason visibility to employee has no AC; API05 INVALID_STATE has no AC.</w:t>
            </w:r>
          </w:p>
        </w:tc>
      </w:tr>
      <w:tr>
        <w:tc>
          <w:tcPr>
            <w:tcW w:type="dxa" w:w="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center"/>
            </w:pPr>
            <w:r>
              <w:rPr>
                <w:b/>
                <w:bCs/>
                <w:color w:val="1A1A1A"/>
                <w:sz w:val="19"/>
                <w:szCs w:val="19"/>
              </w:rPr>
              <w:t xml:space="preserve">5</w:t>
            </w:r>
          </w:p>
        </w:tc>
        <w:tc>
          <w:tcPr>
            <w:tcW w:type="dxa" w:w="38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Define API contracts</w:t>
            </w:r>
          </w:p>
        </w:tc>
        <w:tc>
          <w:tcPr>
            <w:tcW w:type="dxa" w:w="1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Good</w:t>
            </w:r>
          </w:p>
        </w:tc>
        <w:tc>
          <w:tcPr>
            <w:tcW w:type="dxa" w:w="3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8"/>
                <w:szCs w:val="18"/>
              </w:rPr>
              <w:t xml:space="preserve">7 endpoints with request/response/error tables; consistent error codes; API02 richest response in cycle; API07 stakeholder inbox specified. Gap: no HRIS master data endpoint; 403 missing from API02 error table; non-sequential endpoint numbering.</w:t>
            </w:r>
          </w:p>
        </w:tc>
      </w:tr>
      <w:tr>
        <w:tc>
          <w:tcPr>
            <w:tcW w:type="dxa" w:w="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center"/>
            </w:pPr>
            <w:r>
              <w:rPr>
                <w:b/>
                <w:bCs/>
                <w:color w:val="1A1A1A"/>
                <w:sz w:val="19"/>
                <w:szCs w:val="19"/>
              </w:rPr>
              <w:t xml:space="preserve">6</w:t>
            </w:r>
          </w:p>
        </w:tc>
        <w:tc>
          <w:tcPr>
            <w:tcW w:type="dxa" w:w="38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Design the technical approach</w:t>
            </w:r>
          </w:p>
        </w:tc>
        <w:tc>
          <w:tcPr>
            <w:tcW w:type="dxa" w:w="1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Good</w:t>
            </w:r>
          </w:p>
        </w:tc>
        <w:tc>
          <w:tcPr>
            <w:tcW w:type="dxa" w:w="3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8"/>
                <w:szCs w:val="18"/>
              </w:rPr>
              <w:t xml:space="preserve">Tech stack clear in project_context; constitution governs architectural choices; ADRs referenced. Gap: ADR-0001, ADR-0002, and technical plan not submitted; rate-limiting constitution rule not evidenced per endpoint.</w:t>
            </w:r>
          </w:p>
        </w:tc>
      </w:tr>
      <w:tr>
        <w:tc>
          <w:tcPr>
            <w:tcW w:type="dxa" w:w="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center"/>
            </w:pPr>
            <w:r>
              <w:rPr>
                <w:b/>
                <w:bCs/>
                <w:color w:val="1A1A1A"/>
                <w:sz w:val="19"/>
                <w:szCs w:val="19"/>
              </w:rPr>
              <w:t xml:space="preserve">7</w:t>
            </w:r>
          </w:p>
        </w:tc>
        <w:tc>
          <w:tcPr>
            <w:tcW w:type="dxa" w:w="38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Decompose work into independently verifiable tasks</w:t>
            </w:r>
          </w:p>
        </w:tc>
        <w:tc>
          <w:tcPr>
            <w:tcW w:type="dxa" w:w="1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Adequate</w:t>
            </w:r>
          </w:p>
        </w:tc>
        <w:tc>
          <w:tcPr>
            <w:tcW w:type="dxa" w:w="3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8"/>
                <w:szCs w:val="18"/>
              </w:rPr>
              <w:t xml:space="preserve">10 tasks referenced in status.md Day 6; AC groupings provide natural task boundaries. Gap: task decomposition document not submitted; individual task-to-AC mapping cannot be verified.</w:t>
            </w:r>
          </w:p>
        </w:tc>
      </w:tr>
      <w:tr>
        <w:tc>
          <w:tcPr>
            <w:tcW w:type="dxa" w:w="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center"/>
            </w:pPr>
            <w:r>
              <w:rPr>
                <w:b/>
                <w:bCs/>
                <w:color w:val="1A1A1A"/>
                <w:sz w:val="19"/>
                <w:szCs w:val="19"/>
              </w:rPr>
              <w:t xml:space="preserve">8</w:t>
            </w:r>
          </w:p>
        </w:tc>
        <w:tc>
          <w:tcPr>
            <w:tcW w:type="dxa" w:w="38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Apply test-first development</w:t>
            </w:r>
          </w:p>
        </w:tc>
        <w:tc>
          <w:tcPr>
            <w:tcW w:type="dxa" w:w="1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Strong</w:t>
            </w:r>
          </w:p>
        </w:tc>
        <w:tc>
          <w:tcPr>
            <w:tcW w:type="dxa" w:w="3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8"/>
                <w:szCs w:val="18"/>
              </w:rPr>
              <w:t xml:space="preserve">Constitution mandates test-first as a rule; 18 UT cases cover all ACs; UT12 cancellation-propagation test is precise; Jest+Supertest on real Postgres specified. Gap: no RED evidence submitted; role-only fan-out combination and API05 INVALID_STATE not tested.</w:t>
            </w:r>
          </w:p>
        </w:tc>
      </w:tr>
      <w:tr>
        <w:tc>
          <w:tcPr>
            <w:tcW w:type="dxa" w:w="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center"/>
            </w:pPr>
            <w:r>
              <w:rPr>
                <w:b/>
                <w:bCs/>
                <w:color w:val="1A1A1A"/>
                <w:sz w:val="19"/>
                <w:szCs w:val="19"/>
              </w:rPr>
              <w:t xml:space="preserve">9</w:t>
            </w:r>
          </w:p>
        </w:tc>
        <w:tc>
          <w:tcPr>
            <w:tcW w:type="dxa" w:w="38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Handle integration, security and failure scenarios</w:t>
            </w:r>
          </w:p>
        </w:tc>
        <w:tc>
          <w:tcPr>
            <w:tcW w:type="dxa" w:w="1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Good</w:t>
            </w:r>
          </w:p>
        </w:tc>
        <w:tc>
          <w:tcPr>
            <w:tcW w:type="dxa" w:w="3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8"/>
                <w:szCs w:val="18"/>
              </w:rPr>
              <w:t xml:space="preserve">Constitution security rules are most detailed in cycle; NOT_ASSIGNEE closes auth hole; cancellation propagation correct; ADR-0001 models integration constraint. Gap: downstream task never-completes scenario unaddressed; rate-limiting not evidenced per endpoint.</w:t>
            </w:r>
          </w:p>
        </w:tc>
      </w:tr>
      <w:tr>
        <w:tc>
          <w:tcPr>
            <w:tcW w:type="dxa" w:w="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center"/>
            </w:pPr>
            <w:r>
              <w:rPr>
                <w:b/>
                <w:bCs/>
                <w:color w:val="1A1A1A"/>
                <w:sz w:val="19"/>
                <w:szCs w:val="19"/>
              </w:rPr>
              <w:t xml:space="preserve">10</w:t>
            </w:r>
          </w:p>
        </w:tc>
        <w:tc>
          <w:tcPr>
            <w:tcW w:type="dxa" w:w="3800"/>
            <w:tcBorders>
              <w:top w:val="single" w:color="CCCCCC" w:sz="4"/>
              <w:left w:val="single" w:color="CCCCCC" w:sz="4"/>
              <w:bottom w:val="single" w:color="CCCCCC" w:sz="4"/>
              <w:right w:val="single" w:color="CCCCCC" w:sz="4"/>
            </w:tcBorders>
            <w:shd w:fill="F4F4F4"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Maintain traceability from requirement to implementation</w:t>
            </w:r>
          </w:p>
        </w:tc>
        <w:tc>
          <w:tcPr>
            <w:tcW w:type="dxa" w:w="1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Good</w:t>
            </w:r>
          </w:p>
        </w:tc>
        <w:tc>
          <w:tcPr>
            <w:tcW w:type="dxa" w:w="3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8"/>
                <w:szCs w:val="18"/>
              </w:rPr>
              <w:t xml:space="preserve">UT→AC mapping in spec; version history narrative is most complete in cycle; status.md execution log present. Gap: no BR-to-AC mapping; no formal traceability matrix; discovery analysis and technical plan not submitted.</w:t>
            </w:r>
          </w:p>
        </w:tc>
      </w:tr>
    </w:tbl>
    <w:p>
      <w:pPr>
        <w:spacing w:after="30" w:before="30"/>
      </w:pPr>
    </w:p>
    <w:p>
      <w:pPr>
        <w:spacing w:after="30" w:before="30"/>
      </w:pPr>
    </w:p>
    <w:p>
      <w:pPr>
        <w:shd w:fill="1A1A1A" w:color="auto" w:val="clear"/>
        <w:spacing w:after="120" w:before="340"/>
        <w:ind w:left="160"/>
      </w:pPr>
      <w:r>
        <w:rPr>
          <w:b/>
          <w:bCs/>
          <w:color w:val="FFFFFF"/>
          <w:sz w:val="26"/>
          <w:szCs w:val="26"/>
        </w:rPr>
        <w:t xml:space="preserve">4. Findings &amp; Requested Actions</w:t>
      </w:r>
    </w:p>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820"/>
        <w:gridCol w:w="4620"/>
        <w:gridCol w:w="3540"/>
      </w:tblGrid>
      <w:tr>
        <w:trPr>
          <w:tblHeader/>
        </w:trPr>
        <w:tc>
          <w:tcPr>
            <w:tcW w:type="dxa" w:w="380"/>
            <w:tcBorders>
              <w:top w:val="single" w:color="FFFFFF" w:sz="4"/>
              <w:left w:val="single" w:color="FFFFFF" w:sz="4"/>
              <w:bottom w:val="single" w:color="FFFFFF" w:sz="4"/>
              <w:right w:val="single" w:color="FFFFFF" w:sz="4"/>
            </w:tcBorders>
            <w:shd w:fill="1A1A1A" w:color="auto" w:val="clear"/>
            <w:tcMar>
              <w:top w:type="dxa" w:w="80"/>
              <w:left w:type="dxa" w:w="120"/>
              <w:bottom w:type="dxa" w:w="80"/>
              <w:right w:type="dxa" w:w="120"/>
            </w:tcMar>
          </w:tcPr>
          <w:p>
            <w:pPr>
              <w:spacing w:after="0" w:before="0"/>
            </w:pPr>
            <w:r>
              <w:rPr>
                <w:b/>
                <w:bCs/>
                <w:color w:val="FFFFFF"/>
                <w:sz w:val="19"/>
                <w:szCs w:val="19"/>
              </w:rPr>
              <w:t xml:space="preserve">#</w:t>
            </w:r>
          </w:p>
        </w:tc>
        <w:tc>
          <w:tcPr>
            <w:tcW w:type="dxa" w:w="820"/>
            <w:tcBorders>
              <w:top w:val="single" w:color="FFFFFF" w:sz="4"/>
              <w:left w:val="single" w:color="FFFFFF" w:sz="4"/>
              <w:bottom w:val="single" w:color="FFFFFF" w:sz="4"/>
              <w:right w:val="single" w:color="FFFFFF" w:sz="4"/>
            </w:tcBorders>
            <w:shd w:fill="1A1A1A" w:color="auto" w:val="clear"/>
            <w:tcMar>
              <w:top w:type="dxa" w:w="80"/>
              <w:left w:type="dxa" w:w="120"/>
              <w:bottom w:type="dxa" w:w="80"/>
              <w:right w:type="dxa" w:w="120"/>
            </w:tcMar>
          </w:tcPr>
          <w:p>
            <w:pPr>
              <w:spacing w:after="0" w:before="0"/>
            </w:pPr>
            <w:r>
              <w:rPr>
                <w:b/>
                <w:bCs/>
                <w:color w:val="FFFFFF"/>
                <w:sz w:val="19"/>
                <w:szCs w:val="19"/>
              </w:rPr>
              <w:t xml:space="preserve">Severity</w:t>
            </w:r>
          </w:p>
        </w:tc>
        <w:tc>
          <w:tcPr>
            <w:tcW w:type="dxa" w:w="4620"/>
            <w:tcBorders>
              <w:top w:val="single" w:color="FFFFFF" w:sz="4"/>
              <w:left w:val="single" w:color="FFFFFF" w:sz="4"/>
              <w:bottom w:val="single" w:color="FFFFFF" w:sz="4"/>
              <w:right w:val="single" w:color="FFFFFF" w:sz="4"/>
            </w:tcBorders>
            <w:shd w:fill="1A1A1A" w:color="auto" w:val="clear"/>
            <w:tcMar>
              <w:top w:type="dxa" w:w="80"/>
              <w:left w:type="dxa" w:w="120"/>
              <w:bottom w:type="dxa" w:w="80"/>
              <w:right w:type="dxa" w:w="120"/>
            </w:tcMar>
          </w:tcPr>
          <w:p>
            <w:pPr>
              <w:spacing w:after="0" w:before="0"/>
            </w:pPr>
            <w:r>
              <w:rPr>
                <w:b/>
                <w:bCs/>
                <w:color w:val="FFFFFF"/>
                <w:sz w:val="19"/>
                <w:szCs w:val="19"/>
              </w:rPr>
              <w:t xml:space="preserve">Finding</w:t>
            </w:r>
          </w:p>
        </w:tc>
        <w:tc>
          <w:tcPr>
            <w:tcW w:type="dxa" w:w="3540"/>
            <w:tcBorders>
              <w:top w:val="single" w:color="FFFFFF" w:sz="4"/>
              <w:left w:val="single" w:color="FFFFFF" w:sz="4"/>
              <w:bottom w:val="single" w:color="FFFFFF" w:sz="4"/>
              <w:right w:val="single" w:color="FFFFFF" w:sz="4"/>
            </w:tcBorders>
            <w:shd w:fill="1A1A1A" w:color="auto" w:val="clear"/>
            <w:tcMar>
              <w:top w:type="dxa" w:w="80"/>
              <w:left w:type="dxa" w:w="120"/>
              <w:bottom w:type="dxa" w:w="80"/>
              <w:right w:type="dxa" w:w="120"/>
            </w:tcMar>
          </w:tcPr>
          <w:p>
            <w:pPr>
              <w:spacing w:after="0" w:before="0"/>
            </w:pPr>
            <w:r>
              <w:rPr>
                <w:b/>
                <w:bCs/>
                <w:color w:val="FFFFFF"/>
                <w:sz w:val="19"/>
                <w:szCs w:val="19"/>
              </w:rPr>
              <w:t xml:space="preserve">Action Required</w:t>
            </w:r>
          </w:p>
        </w:tc>
      </w:tr>
      <w:tr>
        <w:tc>
          <w:tcPr>
            <w:tcW w:type="dxa" w:w="3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center"/>
            </w:pPr>
            <w:r>
              <w:rPr>
                <w:b/>
                <w:bCs/>
                <w:color w:val="1A1A1A"/>
                <w:sz w:val="19"/>
                <w:szCs w:val="19"/>
              </w:rPr>
              <w:t xml:space="preserve">1</w:t>
            </w:r>
          </w:p>
        </w:tc>
        <w:tc>
          <w:tcPr>
            <w:tcW w:type="dxa" w:w="82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RED</w:t>
            </w:r>
          </w:p>
        </w:tc>
        <w:tc>
          <w:tcPr>
            <w:tcW w:type="dxa" w:w="462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Three business decisions are embedded in the spec without acknowledgement as decisions, open questions, or assumptions:
(a) IT always triggers — AC7 states 'IT always gets a to-do item' regardless of what changed. The source document says IT 'may need to provision or remove access' — conditional on the transfer type. A role-only change with no department or location change may or may not require IT access changes depending on the organisation's access model. This is a business rule that should be confirmed with IT and HR.
(b) Employee confirmation step — the 'Ready For Confirmation' state and EMPLOYEE_CONFIRMATION task add a mandatory employee sign-off before Completed. The source document's step 8 ('employee receives confirmation') describes a notification, not an approval action. Adding a mandatory final gate changes the journey and requires a stakeholder to confirm it is the intended design.
(c) Effective date role — the effective date is collected, validated (14-day minimum), and stored, but no spec section states what it gates. When does the transfer take effect — at Completed status, on the effective date, or something else? This is a business decision with payroll, IT, and HR implications.</w:t>
            </w:r>
          </w:p>
        </w:tc>
        <w:tc>
          <w:tcPr>
            <w:tcW w:type="dxa" w:w="35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Before Milestone 3:
(a) Add an open question and assumption for the IT trigger rule: 'IT is always triggered regardless of what changed — assumption, pending confirmation from IT/HR that all transfers require access review.' If the rule is conditional on the transfer type, update AC7 and UT07/UT08 accordingly.
(b) Add an open question and assumption for the employee confirmation step: 'Employee must give explicit sign-off before Completed — assumption that this is required UX, pending business confirmation.' If confirmation is not required, remove the Ready For Confirmation state and AC9/AC10.
(c) Add one sentence to the spec: 'The effective date is stored for reference by Payroll/IT/Facilities; the transfer is treated as effective at the moment the request reaches Completed status.' Or specify the alternative if effectiveDate gates the org change.</w:t>
            </w:r>
          </w:p>
        </w:tc>
      </w:tr>
      <w:tr>
        <w:tc>
          <w:tcPr>
            <w:tcW w:type="dxa" w:w="3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center"/>
            </w:pPr>
            <w:r>
              <w:rPr>
                <w:b/>
                <w:bCs/>
                <w:color w:val="1A1A1A"/>
                <w:sz w:val="19"/>
                <w:szCs w:val="19"/>
              </w:rPr>
              <w:t xml:space="preserve">2</w:t>
            </w:r>
          </w:p>
        </w:tc>
        <w:tc>
          <w:tcPr>
            <w:tcW w:type="dxa" w:w="82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AMBER</w:t>
            </w:r>
          </w:p>
        </w:tc>
        <w:tc>
          <w:tcPr>
            <w:tcW w:type="dxa" w:w="462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The BRD is a single sparse entry with no numbered requirements, no actor table, no journey stage mapping, and no open questions log. The discovery analysis (assessment/01-discovery-analysis.md) is referenced in the spec as background reading but was not submitted. This reviewer cannot assess whether open questions were identified and resolved, or silently assumed away. The BRD is the source document for every downstream artefact — its sparseness means the traceability chain from business requirement to acceptance criterion is not verifiable.</w:t>
            </w:r>
          </w:p>
        </w:tc>
        <w:tc>
          <w:tcPr>
            <w:tcW w:type="dxa" w:w="35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Submit the discovery analysis for Gate 1 review. It is listed in the spec as background reading — it should be a submitted artefact, not a referenced-but-absent file. If it does not yet exist as a standalone document, extract the open questions and assumptions from whatever notes exist and formalise them in the BRD under an 'Open Questions' and 'Assumptions' section.</w:t>
            </w:r>
          </w:p>
        </w:tc>
      </w:tr>
      <w:tr>
        <w:tc>
          <w:tcPr>
            <w:tcW w:type="dxa" w:w="3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center"/>
            </w:pPr>
            <w:r>
              <w:rPr>
                <w:b/>
                <w:bCs/>
                <w:color w:val="1A1A1A"/>
                <w:sz w:val="19"/>
                <w:szCs w:val="19"/>
              </w:rPr>
              <w:t xml:space="preserve">3</w:t>
            </w:r>
          </w:p>
        </w:tc>
        <w:tc>
          <w:tcPr>
            <w:tcW w:type="dxa" w:w="82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AMBER</w:t>
            </w:r>
          </w:p>
        </w:tc>
        <w:tc>
          <w:tcPr>
            <w:tcW w:type="dxa" w:w="462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Rejection reason visibility to the employee is unspecified. AC6 says 'the reason is saved on that item' when the Manager rejects. AC8 does not address the HR rejection comment. But no AC states whether the employee can see these reasons when they view their request via API02. The API02 response includes 'notes' per action item — but whether that field is returned to the employee or filtered is not specified. This is a consequential UX and HR-policy decision.</w:t>
            </w:r>
          </w:p>
        </w:tc>
        <w:tc>
          <w:tcPr>
            <w:tcW w:type="dxa" w:w="35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Add an AC: 'When an employee views a Rejected request via API02, the rejection reason (notes field of the Manager or HR action item) is visible in the response.' Or explicitly state it is not visible and why. Add a corresponding UT.</w:t>
            </w:r>
          </w:p>
        </w:tc>
      </w:tr>
      <w:tr>
        <w:tc>
          <w:tcPr>
            <w:tcW w:type="dxa" w:w="3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center"/>
            </w:pPr>
            <w:r>
              <w:rPr>
                <w:b/>
                <w:bCs/>
                <w:color w:val="1A1A1A"/>
                <w:sz w:val="19"/>
                <w:szCs w:val="19"/>
              </w:rPr>
              <w:t xml:space="preserve">4</w:t>
            </w:r>
          </w:p>
        </w:tc>
        <w:tc>
          <w:tcPr>
            <w:tcW w:type="dxa" w:w="82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AMBER</w:t>
            </w:r>
          </w:p>
        </w:tc>
        <w:tc>
          <w:tcPr>
            <w:tcW w:type="dxa" w:w="462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API02 error table is missing the 403 case. AC14 specifies that an unauthorized caller gets a 403 error when trying to view a request's details. But API02's error table only lists 401 (UNAUTHENTICATED) and 404 (NOT_FOUND) — the 403 (FORBIDDEN/NOT_ASSIGNEE) is absent from the contract. This creates a discrepancy between the AC and the API contract.</w:t>
            </w:r>
          </w:p>
        </w:tc>
        <w:tc>
          <w:tcPr>
            <w:tcW w:type="dxa" w:w="35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Add a 403 row to the API02 error table: 'Caller is neither the employee nor assigned to any action item on this request — {"error": "FORBIDDEN"}.' This aligns the API contract with AC14.</w:t>
            </w:r>
          </w:p>
        </w:tc>
      </w:tr>
      <w:tr>
        <w:tc>
          <w:tcPr>
            <w:tcW w:type="dxa" w:w="3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center"/>
            </w:pPr>
            <w:r>
              <w:rPr>
                <w:b/>
                <w:bCs/>
                <w:color w:val="1A1A1A"/>
                <w:sz w:val="19"/>
                <w:szCs w:val="19"/>
              </w:rPr>
              <w:t xml:space="preserve">5</w:t>
            </w:r>
          </w:p>
        </w:tc>
        <w:tc>
          <w:tcPr>
            <w:tcW w:type="dxa" w:w="82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AMBER</w:t>
            </w:r>
          </w:p>
        </w:tc>
        <w:tc>
          <w:tcPr>
            <w:tcW w:type="dxa" w:w="462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The constitution requires a rate-limiting decision per endpoint ('every endpoint needs a clear decision about rate limiting — even if the decision is "we don't need one, here's why"'), but no spec AC or API contract section shows this rule was applied. This is a constitution compliance gap — the rule is specific and checkable, but its application is not evidenced in any submitted artefact.</w:t>
            </w:r>
          </w:p>
        </w:tc>
        <w:tc>
          <w:tcPr>
            <w:tcW w:type="dxa" w:w="35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Add a rate-limiting note per endpoint in the API contract, or add a single spec section stating: 'Rate limiting: no per-endpoint rate limiting is implemented in V1 — this is an internal, low-traffic tool accessible only to authenticated employees and approved stakeholders. Revisit if exposed to higher traffic or external access.' This closes the constitution compliance gap without adding unnecessary complexity.</w:t>
            </w:r>
          </w:p>
        </w:tc>
      </w:tr>
      <w:tr>
        <w:tc>
          <w:tcPr>
            <w:tcW w:type="dxa" w:w="3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center"/>
            </w:pPr>
            <w:r>
              <w:rPr>
                <w:b/>
                <w:bCs/>
                <w:color w:val="1A1A1A"/>
                <w:sz w:val="19"/>
                <w:szCs w:val="19"/>
              </w:rPr>
              <w:t xml:space="preserve">6</w:t>
            </w:r>
          </w:p>
        </w:tc>
        <w:tc>
          <w:tcPr>
            <w:tcW w:type="dxa" w:w="82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AMBER</w:t>
            </w:r>
          </w:p>
        </w:tc>
        <w:tc>
          <w:tcPr>
            <w:tcW w:type="dxa" w:w="462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Downstream task 'never completes' scenario is unspecified. AC9 requires all created Payroll/IT/Facilities tasks to reach Completed before the request moves to Ready For Confirmation. But no AC, assumption, or out-of-scope statement addresses what happens if a team never acts on their task — the request sits In Progress indefinitely with no recovery path.</w:t>
            </w:r>
          </w:p>
        </w:tc>
        <w:tc>
          <w:tcPr>
            <w:tcW w:type="dxa" w:w="35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Add to the spec's 'What we are NOT building' section: 'Automatic timeout or escalation when a downstream team does not complete their task — if a team does not act, the request remains In Progress; this is a V2 concern.' This makes the absence explicit rather than silent.</w:t>
            </w:r>
          </w:p>
        </w:tc>
      </w:tr>
      <w:tr>
        <w:tc>
          <w:tcPr>
            <w:tcW w:type="dxa" w:w="3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center"/>
            </w:pPr>
            <w:r>
              <w:rPr>
                <w:b/>
                <w:bCs/>
                <w:color w:val="1A1A1A"/>
                <w:sz w:val="19"/>
                <w:szCs w:val="19"/>
              </w:rPr>
              <w:t xml:space="preserve">7</w:t>
            </w:r>
          </w:p>
        </w:tc>
        <w:tc>
          <w:tcPr>
            <w:tcW w:type="dxa" w:w="82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GREEN
(Minor)</w:t>
            </w:r>
          </w:p>
        </w:tc>
        <w:tc>
          <w:tcPr>
            <w:tcW w:type="dxa" w:w="462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The API endpoint numbering is non-sequential in the spec (API01, 02, 03, 04, 07, 05, 06). API07 appears mid-document because it was added after Gate 1. While functional, this could confuse an implementer reading sequentially.</w:t>
            </w:r>
          </w:p>
        </w:tc>
        <w:tc>
          <w:tcPr>
            <w:tcW w:type="dxa" w:w="35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Renumber the endpoints sequentially in the spec document, or add a note: 'API07 was added in v1.1 after Gate 1; numbering reflects addition order rather than document order.' Either approach removes ambiguity.</w:t>
            </w:r>
          </w:p>
        </w:tc>
      </w:tr>
      <w:tr>
        <w:tc>
          <w:tcPr>
            <w:tcW w:type="dxa" w:w="3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center"/>
            </w:pPr>
            <w:r>
              <w:rPr>
                <w:b/>
                <w:bCs/>
                <w:color w:val="1A1A1A"/>
                <w:sz w:val="19"/>
                <w:szCs w:val="19"/>
              </w:rPr>
              <w:t xml:space="preserve">8</w:t>
            </w:r>
          </w:p>
        </w:tc>
        <w:tc>
          <w:tcPr>
            <w:tcW w:type="dxa" w:w="82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GREEN
(Minor)</w:t>
            </w:r>
          </w:p>
        </w:tc>
        <w:tc>
          <w:tcPr>
            <w:tcW w:type="dxa" w:w="462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A role-only-change fan-out combination is not covered by a test case. UT07 (dept+role same, location different) and UT08 (dept different, location same) cover two scenarios. A third — role different, dept and location same — would produce yes PAYROLL, no FACILITIES, yes IT, which is a distinct combination not tested.</w:t>
            </w:r>
          </w:p>
        </w:tc>
        <w:tc>
          <w:tcPr>
            <w:tcW w:type="dxa" w:w="35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Add UT07B or UT19: 'HR approves; role different, dept and location same — yes PAYROLL (role changed), no FACILITIES (location same), yes IT (always).' This completes the fan-out combination coverage.</w:t>
            </w:r>
          </w:p>
        </w:tc>
      </w:tr>
    </w:tbl>
    <w:p>
      <w:pPr>
        <w:spacing w:after="30" w:before="30"/>
      </w:pPr>
    </w:p>
    <w:p>
      <w:pPr>
        <w:spacing w:after="30" w:before="30"/>
      </w:pPr>
    </w:p>
    <w:p>
      <w:pPr>
        <w:shd w:fill="1A1A1A" w:color="auto" w:val="clear"/>
        <w:spacing w:after="120" w:before="340"/>
        <w:ind w:left="160"/>
      </w:pPr>
      <w:r>
        <w:rPr>
          <w:b/>
          <w:bCs/>
          <w:color w:val="FFFFFF"/>
          <w:sz w:val="26"/>
          <w:szCs w:val="26"/>
        </w:rPr>
        <w:t xml:space="preserve">5. Consolidated Reviewer Feedback</w:t>
      </w:r>
    </w:p>
    <w:p>
      <w:pPr>
        <w:spacing w:after="30" w:before="30"/>
      </w:pPr>
    </w:p>
    <w:p>
      <w:pPr>
        <w:spacing w:after="80" w:before="220"/>
      </w:pPr>
      <w:r>
        <w:rPr>
          <w:b/>
          <w:bCs/>
          <w:color w:val="1A1A1A"/>
          <w:sz w:val="23"/>
          <w:szCs w:val="23"/>
          <w:u w:val="single"/>
        </w:rPr>
        <w:t xml:space="preserve">Strengths — what sets this submission apart</w:t>
      </w:r>
    </w:p>
    <w:p>
      <w:pPr>
        <w:pStyle w:val="ListParagraph"/>
        <w:numPr>
          <w:ilvl w:val="0"/>
          <w:numId w:val="1"/>
        </w:numPr>
        <w:spacing w:after="40" w:before="40"/>
        <w:ind w:left="360"/>
      </w:pPr>
      <w:r>
        <w:rPr>
          <w:color w:val="1A1A1A"/>
          <w:sz w:val="21"/>
          <w:szCs w:val="21"/>
        </w:rPr>
        <w:t xml:space="preserve">The constitution.md is the only populated project constitution in this review cycle. Its specific, checkable rules — coverage floors with percentages, real Postgres for backend tests, rate-limiting decision required per endpoint, credentials in environment variables only — make it a genuine governance document rather than an aspirational statement. The fact that it exists and is referenced by the spec is the single most significant structural differentiator in this submission.</w:t>
      </w:r>
    </w:p>
    <w:p>
      <w:pPr>
        <w:pStyle w:val="ListParagraph"/>
        <w:numPr>
          <w:ilvl w:val="0"/>
          <w:numId w:val="1"/>
        </w:numPr>
        <w:spacing w:after="40" w:before="40"/>
        <w:ind w:left="360"/>
      </w:pPr>
      <w:r>
        <w:rPr>
          <w:color w:val="1A1A1A"/>
          <w:sz w:val="21"/>
          <w:szCs w:val="21"/>
        </w:rPr>
        <w:t xml:space="preserve">The spec version history narrative (v1.0 → v1.1 → v1.2 → v1.3) is the most transparent evolution log in this review cycle. Describing each version change in plain English, naming the problem it fixed, and labelling added ACs with their version is exactly the kind of live documentation that makes a spec auditable without relying on git history.</w:t>
      </w:r>
    </w:p>
    <w:p>
      <w:pPr>
        <w:pStyle w:val="ListParagraph"/>
        <w:numPr>
          <w:ilvl w:val="0"/>
          <w:numId w:val="1"/>
        </w:numPr>
        <w:spacing w:after="40" w:before="40"/>
        <w:ind w:left="360"/>
      </w:pPr>
      <w:r>
        <w:rPr>
          <w:color w:val="1A1A1A"/>
          <w:sz w:val="21"/>
          <w:szCs w:val="21"/>
        </w:rPr>
        <w:t xml:space="preserve">AC7's fan-out precision — 'if a team doesn't need to be involved, no item is created for them at all — it's not just hidden, it simply doesn't exist' — is the clearest statement of downstream task non-creation in this review batch. It prevents a common implementation pattern where hidden items are created and then filtered, which creates ghost records.</w:t>
      </w:r>
    </w:p>
    <w:p>
      <w:pPr>
        <w:pStyle w:val="ListParagraph"/>
        <w:numPr>
          <w:ilvl w:val="0"/>
          <w:numId w:val="1"/>
        </w:numPr>
        <w:spacing w:after="40" w:before="40"/>
        <w:ind w:left="360"/>
      </w:pPr>
      <w:r>
        <w:rPr>
          <w:color w:val="1A1A1A"/>
          <w:sz w:val="21"/>
          <w:szCs w:val="21"/>
        </w:rPr>
        <w:t xml:space="preserve">The spec is written in accessible plain English throughout. This is a deliberate choice that makes ACs readable by a non-technical HR or business stakeholder without sacrificing the precision needed for implementation. Most other submissions in this cycle are more technical in style and would require interpretation for a business audience.</w:t>
      </w:r>
    </w:p>
    <w:p>
      <w:pPr>
        <w:pStyle w:val="ListParagraph"/>
        <w:numPr>
          <w:ilvl w:val="0"/>
          <w:numId w:val="1"/>
        </w:numPr>
        <w:spacing w:after="40" w:before="40"/>
        <w:ind w:left="360"/>
      </w:pPr>
      <w:r>
        <w:rPr>
          <w:color w:val="1A1A1A"/>
          <w:sz w:val="21"/>
          <w:szCs w:val="21"/>
        </w:rPr>
        <w:t xml:space="preserve">The status.md Day-by-day log is the most complete execution record in this cycle — naming what happened on each day, referencing the specific artefacts produced, and noting the post-release observation that triggered the v1.3 delta. The practice of not changing code before a spec delta gets Gate 1 approval is exactly the right discipline.</w:t>
      </w:r>
    </w:p>
    <w:p>
      <w:pPr>
        <w:spacing w:after="30" w:before="30"/>
      </w:pPr>
    </w:p>
    <w:p>
      <w:pPr>
        <w:spacing w:after="80" w:before="220"/>
      </w:pPr>
      <w:r>
        <w:rPr>
          <w:b/>
          <w:bCs/>
          <w:color w:val="1A1A1A"/>
          <w:sz w:val="23"/>
          <w:szCs w:val="23"/>
          <w:u w:val="single"/>
        </w:rPr>
        <w:t xml:space="preserve">Primary areas for development before Milestone 3</w:t>
      </w:r>
    </w:p>
    <w:p>
      <w:pPr>
        <w:pStyle w:val="ListParagraph"/>
        <w:numPr>
          <w:ilvl w:val="0"/>
          <w:numId w:val="1"/>
        </w:numPr>
        <w:spacing w:after="40" w:before="40"/>
        <w:ind w:left="360"/>
      </w:pPr>
      <w:r>
        <w:rPr>
          <w:color w:val="1A1A1A"/>
          <w:sz w:val="21"/>
          <w:szCs w:val="21"/>
        </w:rPr>
        <w:t xml:space="preserve">The three embedded business decisions (IT always triggers, employee confirmation step, effective date role) are the most important items to resolve. They are not methodology gaps — they are substantive business questions that require stakeholder confirmation. The right approach is to surface them as named open questions with proposed assumptions in the BRD, get them confirmed at Gate 1, and then carry them into the spec as resolved decisions. As currently written, they are silent design choices that a stakeholder could override after implementation starts.</w:t>
      </w:r>
    </w:p>
    <w:p>
      <w:pPr>
        <w:pStyle w:val="ListParagraph"/>
        <w:numPr>
          <w:ilvl w:val="0"/>
          <w:numId w:val="1"/>
        </w:numPr>
        <w:spacing w:after="40" w:before="40"/>
        <w:ind w:left="360"/>
      </w:pPr>
      <w:r>
        <w:rPr>
          <w:color w:val="1A1A1A"/>
          <w:sz w:val="21"/>
          <w:szCs w:val="21"/>
        </w:rPr>
        <w:t xml:space="preserve">The BRD needs to grow beyond a single-entry summary. A BRD with numbered requirements, an actor table, a journey stage mapping, and a separation of known decisions from open questions is the foundation that makes the spec traceable to the business. The current BRD cannot support that traceability because it has no individual requirements to trace to.</w:t>
      </w:r>
    </w:p>
    <w:p>
      <w:pPr>
        <w:pStyle w:val="ListParagraph"/>
        <w:numPr>
          <w:ilvl w:val="0"/>
          <w:numId w:val="1"/>
        </w:numPr>
        <w:spacing w:after="40" w:before="40"/>
        <w:ind w:left="360"/>
      </w:pPr>
      <w:r>
        <w:rPr>
          <w:color w:val="1A1A1A"/>
          <w:sz w:val="21"/>
          <w:szCs w:val="21"/>
        </w:rPr>
        <w:t xml:space="preserve">The discovery analysis should be submitted as part of the Gate 1 artefact package. The spec references it as background reading — it belongs in the review, not just on a file path.</w:t>
      </w:r>
    </w:p>
    <w:p>
      <w:pPr>
        <w:spacing w:after="30" w:before="30"/>
      </w:pPr>
    </w:p>
    <w:p>
      <w:pPr>
        <w:spacing w:after="30" w:before="30"/>
      </w:pPr>
    </w:p>
    <w:p>
      <w:pPr>
        <w:shd w:fill="1A1A1A" w:color="auto" w:val="clear"/>
        <w:spacing w:after="120" w:before="340"/>
        <w:ind w:left="160"/>
      </w:pPr>
      <w:r>
        <w:rPr>
          <w:b/>
          <w:bCs/>
          <w:color w:val="FFFFFF"/>
          <w:sz w:val="26"/>
          <w:szCs w:val="26"/>
        </w:rPr>
        <w:t xml:space="preserve">6. Action Items Before Proceeding</w:t>
      </w:r>
    </w:p>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3960"/>
        <w:gridCol w:w="1840"/>
        <w:gridCol w:w="1580"/>
        <w:gridCol w:w="1600"/>
      </w:tblGrid>
      <w:tr>
        <w:trPr>
          <w:tblHeader/>
        </w:trPr>
        <w:tc>
          <w:tcPr>
            <w:tcW w:type="dxa" w:w="380"/>
            <w:tcBorders>
              <w:top w:val="single" w:color="FFFFFF" w:sz="4"/>
              <w:left w:val="single" w:color="FFFFFF" w:sz="4"/>
              <w:bottom w:val="single" w:color="FFFFFF" w:sz="4"/>
              <w:right w:val="single" w:color="FFFFFF" w:sz="4"/>
            </w:tcBorders>
            <w:shd w:fill="1A1A1A" w:color="auto" w:val="clear"/>
            <w:tcMar>
              <w:top w:type="dxa" w:w="80"/>
              <w:left w:type="dxa" w:w="120"/>
              <w:bottom w:type="dxa" w:w="80"/>
              <w:right w:type="dxa" w:w="120"/>
            </w:tcMar>
          </w:tcPr>
          <w:p>
            <w:pPr>
              <w:spacing w:after="0" w:before="0"/>
            </w:pPr>
            <w:r>
              <w:rPr>
                <w:b/>
                <w:bCs/>
                <w:color w:val="FFFFFF"/>
                <w:sz w:val="19"/>
                <w:szCs w:val="19"/>
              </w:rPr>
              <w:t xml:space="preserve">#</w:t>
            </w:r>
          </w:p>
        </w:tc>
        <w:tc>
          <w:tcPr>
            <w:tcW w:type="dxa" w:w="3960"/>
            <w:tcBorders>
              <w:top w:val="single" w:color="FFFFFF" w:sz="4"/>
              <w:left w:val="single" w:color="FFFFFF" w:sz="4"/>
              <w:bottom w:val="single" w:color="FFFFFF" w:sz="4"/>
              <w:right w:val="single" w:color="FFFFFF" w:sz="4"/>
            </w:tcBorders>
            <w:shd w:fill="1A1A1A" w:color="auto" w:val="clear"/>
            <w:tcMar>
              <w:top w:type="dxa" w:w="80"/>
              <w:left w:type="dxa" w:w="120"/>
              <w:bottom w:type="dxa" w:w="80"/>
              <w:right w:type="dxa" w:w="120"/>
            </w:tcMar>
          </w:tcPr>
          <w:p>
            <w:pPr>
              <w:spacing w:after="0" w:before="0"/>
            </w:pPr>
            <w:r>
              <w:rPr>
                <w:b/>
                <w:bCs/>
                <w:color w:val="FFFFFF"/>
                <w:sz w:val="19"/>
                <w:szCs w:val="19"/>
              </w:rPr>
              <w:t xml:space="preserve">Action</w:t>
            </w:r>
          </w:p>
        </w:tc>
        <w:tc>
          <w:tcPr>
            <w:tcW w:type="dxa" w:w="1840"/>
            <w:tcBorders>
              <w:top w:val="single" w:color="FFFFFF" w:sz="4"/>
              <w:left w:val="single" w:color="FFFFFF" w:sz="4"/>
              <w:bottom w:val="single" w:color="FFFFFF" w:sz="4"/>
              <w:right w:val="single" w:color="FFFFFF" w:sz="4"/>
            </w:tcBorders>
            <w:shd w:fill="1A1A1A" w:color="auto" w:val="clear"/>
            <w:tcMar>
              <w:top w:type="dxa" w:w="80"/>
              <w:left w:type="dxa" w:w="120"/>
              <w:bottom w:type="dxa" w:w="80"/>
              <w:right w:type="dxa" w:w="120"/>
            </w:tcMar>
          </w:tcPr>
          <w:p>
            <w:pPr>
              <w:spacing w:after="0" w:before="0"/>
            </w:pPr>
            <w:r>
              <w:rPr>
                <w:b/>
                <w:bCs/>
                <w:color w:val="FFFFFF"/>
                <w:sz w:val="19"/>
                <w:szCs w:val="19"/>
              </w:rPr>
              <w:t xml:space="preserve">Owner</w:t>
            </w:r>
          </w:p>
        </w:tc>
        <w:tc>
          <w:tcPr>
            <w:tcW w:type="dxa" w:w="1580"/>
            <w:tcBorders>
              <w:top w:val="single" w:color="FFFFFF" w:sz="4"/>
              <w:left w:val="single" w:color="FFFFFF" w:sz="4"/>
              <w:bottom w:val="single" w:color="FFFFFF" w:sz="4"/>
              <w:right w:val="single" w:color="FFFFFF" w:sz="4"/>
            </w:tcBorders>
            <w:shd w:fill="1A1A1A" w:color="auto" w:val="clear"/>
            <w:tcMar>
              <w:top w:type="dxa" w:w="80"/>
              <w:left w:type="dxa" w:w="120"/>
              <w:bottom w:type="dxa" w:w="80"/>
              <w:right w:type="dxa" w:w="120"/>
            </w:tcMar>
          </w:tcPr>
          <w:p>
            <w:pPr>
              <w:spacing w:after="0" w:before="0"/>
            </w:pPr>
            <w:r>
              <w:rPr>
                <w:b/>
                <w:bCs/>
                <w:color w:val="FFFFFF"/>
                <w:sz w:val="19"/>
                <w:szCs w:val="19"/>
              </w:rPr>
              <w:t xml:space="preserve">Due</w:t>
            </w:r>
          </w:p>
        </w:tc>
        <w:tc>
          <w:tcPr>
            <w:tcW w:type="dxa" w:w="1600"/>
            <w:tcBorders>
              <w:top w:val="single" w:color="FFFFFF" w:sz="4"/>
              <w:left w:val="single" w:color="FFFFFF" w:sz="4"/>
              <w:bottom w:val="single" w:color="FFFFFF" w:sz="4"/>
              <w:right w:val="single" w:color="FFFFFF" w:sz="4"/>
            </w:tcBorders>
            <w:shd w:fill="1A1A1A" w:color="auto" w:val="clear"/>
            <w:tcMar>
              <w:top w:type="dxa" w:w="80"/>
              <w:left w:type="dxa" w:w="120"/>
              <w:bottom w:type="dxa" w:w="80"/>
              <w:right w:type="dxa" w:w="120"/>
            </w:tcMar>
          </w:tcPr>
          <w:p>
            <w:pPr>
              <w:spacing w:after="0" w:before="0"/>
            </w:pPr>
            <w:r>
              <w:rPr>
                <w:b/>
                <w:bCs/>
                <w:color w:val="FFFFFF"/>
                <w:sz w:val="19"/>
                <w:szCs w:val="19"/>
              </w:rPr>
              <w:t xml:space="preserve">Priority</w:t>
            </w:r>
          </w:p>
        </w:tc>
      </w:tr>
      <w:tr>
        <w:tc>
          <w:tcPr>
            <w:tcW w:type="dxa" w:w="3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center"/>
            </w:pPr>
            <w:r>
              <w:rPr>
                <w:b/>
                <w:bCs/>
                <w:color w:val="1A1A1A"/>
                <w:sz w:val="19"/>
                <w:szCs w:val="19"/>
              </w:rPr>
              <w:t xml:space="preserve">1</w:t>
            </w:r>
          </w:p>
        </w:tc>
        <w:tc>
          <w:tcPr>
            <w:tcW w:type="dxa" w:w="3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Surface the three embedded business decisions as named open questions with assumptions: (a) IT trigger rule; (b) employee confirmation step; (c) effective date role. Get each confirmed as a business decision before plan is written.</w:t>
            </w:r>
          </w:p>
        </w:tc>
        <w:tc>
          <w:tcPr>
            <w:tcW w:type="dxa" w:w="18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Sanjay Saha</w:t>
            </w:r>
          </w:p>
        </w:tc>
        <w:tc>
          <w:tcPr>
            <w:tcW w:type="dxa" w:w="15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Before Day 5 plan</w:t>
            </w:r>
          </w:p>
        </w:tc>
        <w:tc>
          <w:tcPr>
            <w:tcW w:type="dxa" w:w="1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RED</w:t>
            </w:r>
          </w:p>
        </w:tc>
      </w:tr>
      <w:tr>
        <w:tc>
          <w:tcPr>
            <w:tcW w:type="dxa" w:w="3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center"/>
            </w:pPr>
            <w:r>
              <w:rPr>
                <w:b/>
                <w:bCs/>
                <w:color w:val="1A1A1A"/>
                <w:sz w:val="19"/>
                <w:szCs w:val="19"/>
              </w:rPr>
              <w:t xml:space="preserve">2</w:t>
            </w:r>
          </w:p>
        </w:tc>
        <w:tc>
          <w:tcPr>
            <w:tcW w:type="dxa" w:w="3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Submit the discovery analysis (assessment/01-discovery-analysis.md) as part of the Gate 1 package.</w:t>
            </w:r>
          </w:p>
        </w:tc>
        <w:tc>
          <w:tcPr>
            <w:tcW w:type="dxa" w:w="18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Sanjay Saha</w:t>
            </w:r>
          </w:p>
        </w:tc>
        <w:tc>
          <w:tcPr>
            <w:tcW w:type="dxa" w:w="15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Before Gate 1 closes</w:t>
            </w:r>
          </w:p>
        </w:tc>
        <w:tc>
          <w:tcPr>
            <w:tcW w:type="dxa" w:w="1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AMBER</w:t>
            </w:r>
          </w:p>
        </w:tc>
      </w:tr>
      <w:tr>
        <w:tc>
          <w:tcPr>
            <w:tcW w:type="dxa" w:w="3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center"/>
            </w:pPr>
            <w:r>
              <w:rPr>
                <w:b/>
                <w:bCs/>
                <w:color w:val="1A1A1A"/>
                <w:sz w:val="19"/>
                <w:szCs w:val="19"/>
              </w:rPr>
              <w:t xml:space="preserve">3</w:t>
            </w:r>
          </w:p>
        </w:tc>
        <w:tc>
          <w:tcPr>
            <w:tcW w:type="dxa" w:w="3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Add AC for rejection reason visibility to the employee. Add corresponding UT.</w:t>
            </w:r>
          </w:p>
        </w:tc>
        <w:tc>
          <w:tcPr>
            <w:tcW w:type="dxa" w:w="18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Sanjay Saha</w:t>
            </w:r>
          </w:p>
        </w:tc>
        <w:tc>
          <w:tcPr>
            <w:tcW w:type="dxa" w:w="15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Before Day 5 plan</w:t>
            </w:r>
          </w:p>
        </w:tc>
        <w:tc>
          <w:tcPr>
            <w:tcW w:type="dxa" w:w="1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AMBER</w:t>
            </w:r>
          </w:p>
        </w:tc>
      </w:tr>
      <w:tr>
        <w:tc>
          <w:tcPr>
            <w:tcW w:type="dxa" w:w="3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center"/>
            </w:pPr>
            <w:r>
              <w:rPr>
                <w:b/>
                <w:bCs/>
                <w:color w:val="1A1A1A"/>
                <w:sz w:val="19"/>
                <w:szCs w:val="19"/>
              </w:rPr>
              <w:t xml:space="preserve">4</w:t>
            </w:r>
          </w:p>
        </w:tc>
        <w:tc>
          <w:tcPr>
            <w:tcW w:type="dxa" w:w="3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Add 403 row to API02 error table, consistent with AC14.</w:t>
            </w:r>
          </w:p>
        </w:tc>
        <w:tc>
          <w:tcPr>
            <w:tcW w:type="dxa" w:w="18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Sanjay Saha</w:t>
            </w:r>
          </w:p>
        </w:tc>
        <w:tc>
          <w:tcPr>
            <w:tcW w:type="dxa" w:w="15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Before Gate 1 closes</w:t>
            </w:r>
          </w:p>
        </w:tc>
        <w:tc>
          <w:tcPr>
            <w:tcW w:type="dxa" w:w="1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AMBER</w:t>
            </w:r>
          </w:p>
        </w:tc>
      </w:tr>
      <w:tr>
        <w:tc>
          <w:tcPr>
            <w:tcW w:type="dxa" w:w="3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center"/>
            </w:pPr>
            <w:r>
              <w:rPr>
                <w:b/>
                <w:bCs/>
                <w:color w:val="1A1A1A"/>
                <w:sz w:val="19"/>
                <w:szCs w:val="19"/>
              </w:rPr>
              <w:t xml:space="preserve">5</w:t>
            </w:r>
          </w:p>
        </w:tc>
        <w:tc>
          <w:tcPr>
            <w:tcW w:type="dxa" w:w="3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Add rate-limiting decision per endpoint or a single spec-level note closing the constitution compliance gap.</w:t>
            </w:r>
          </w:p>
        </w:tc>
        <w:tc>
          <w:tcPr>
            <w:tcW w:type="dxa" w:w="18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Sanjay Saha</w:t>
            </w:r>
          </w:p>
        </w:tc>
        <w:tc>
          <w:tcPr>
            <w:tcW w:type="dxa" w:w="15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Before Gate 1 closes</w:t>
            </w:r>
          </w:p>
        </w:tc>
        <w:tc>
          <w:tcPr>
            <w:tcW w:type="dxa" w:w="1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AMBER</w:t>
            </w:r>
          </w:p>
        </w:tc>
      </w:tr>
      <w:tr>
        <w:tc>
          <w:tcPr>
            <w:tcW w:type="dxa" w:w="3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center"/>
            </w:pPr>
            <w:r>
              <w:rPr>
                <w:b/>
                <w:bCs/>
                <w:color w:val="1A1A1A"/>
                <w:sz w:val="19"/>
                <w:szCs w:val="19"/>
              </w:rPr>
              <w:t xml:space="preserve">6</w:t>
            </w:r>
          </w:p>
        </w:tc>
        <w:tc>
          <w:tcPr>
            <w:tcW w:type="dxa" w:w="3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Add explicit out-of-scope statement for downstream task timeout/escalation.</w:t>
            </w:r>
          </w:p>
        </w:tc>
        <w:tc>
          <w:tcPr>
            <w:tcW w:type="dxa" w:w="18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Sanjay Saha</w:t>
            </w:r>
          </w:p>
        </w:tc>
        <w:tc>
          <w:tcPr>
            <w:tcW w:type="dxa" w:w="15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Before Gate 1 closes</w:t>
            </w:r>
          </w:p>
        </w:tc>
        <w:tc>
          <w:tcPr>
            <w:tcW w:type="dxa" w:w="1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AMBER</w:t>
            </w:r>
          </w:p>
        </w:tc>
      </w:tr>
      <w:tr>
        <w:tc>
          <w:tcPr>
            <w:tcW w:type="dxa" w:w="3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center"/>
            </w:pPr>
            <w:r>
              <w:rPr>
                <w:b/>
                <w:bCs/>
                <w:color w:val="1A1A1A"/>
                <w:sz w:val="19"/>
                <w:szCs w:val="19"/>
              </w:rPr>
              <w:t xml:space="preserve">7</w:t>
            </w:r>
          </w:p>
        </w:tc>
        <w:tc>
          <w:tcPr>
            <w:tcW w:type="dxa" w:w="3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Add UT for role-only-change fan-out combination. Fix API endpoint non-sequential numbering.</w:t>
            </w:r>
          </w:p>
        </w:tc>
        <w:tc>
          <w:tcPr>
            <w:tcW w:type="dxa" w:w="18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Sanjay Saha</w:t>
            </w:r>
          </w:p>
        </w:tc>
        <w:tc>
          <w:tcPr>
            <w:tcW w:type="dxa" w:w="15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val="false"/>
                <w:bCs w:val="false"/>
                <w:color w:val="1A1A1A"/>
                <w:sz w:val="19"/>
                <w:szCs w:val="19"/>
              </w:rPr>
              <w:t xml:space="preserve">Before Gate 1 closes</w:t>
            </w:r>
          </w:p>
        </w:tc>
        <w:tc>
          <w:tcPr>
            <w:tcW w:type="dxa" w:w="1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before="0"/>
              <w:jc w:val="left"/>
            </w:pPr>
            <w:r>
              <w:rPr>
                <w:b/>
                <w:bCs/>
                <w:color w:val="1A1A1A"/>
                <w:sz w:val="19"/>
                <w:szCs w:val="19"/>
              </w:rPr>
              <w:t xml:space="preserve">GREEN</w:t>
            </w:r>
          </w:p>
        </w:tc>
      </w:tr>
    </w:tbl>
    <w:p>
      <w:pPr>
        <w:spacing w:after="30" w:before="30"/>
      </w:pPr>
    </w:p>
    <w:p>
      <w:pPr>
        <w:spacing w:after="30" w:before="30"/>
      </w:pPr>
    </w:p>
    <w:p>
      <w:pPr>
        <w:shd w:fill="1A1A1A" w:color="auto" w:val="clear"/>
        <w:spacing w:after="120" w:before="340"/>
        <w:ind w:left="160"/>
      </w:pPr>
      <w:r>
        <w:rPr>
          <w:b/>
          <w:bCs/>
          <w:color w:val="FFFFFF"/>
          <w:sz w:val="26"/>
          <w:szCs w:val="26"/>
        </w:rPr>
        <w:t xml:space="preserve">7. Gate 1 Outcome</w:t>
      </w:r>
    </w:p>
    <w:p>
      <w:pPr>
        <w:spacing w:after="30" w:before="30"/>
      </w:pPr>
    </w:p>
    <w:p>
      <w:pPr>
        <w:pBdr>
          <w:top w:val="single" w:color="CCCCCC" w:sz="4"/>
          <w:bottom w:val="single" w:color="CCCCCC" w:sz="4"/>
          <w:left w:val="single" w:color="CCCCCC" w:sz="4"/>
          <w:right w:val="single" w:color="CCCCCC" w:sz="4"/>
        </w:pBdr>
        <w:shd w:fill="F4F4F4" w:color="auto" w:val="clear"/>
        <w:spacing w:after="160" w:before="160"/>
        <w:ind w:left="200" w:right="200"/>
        <w:jc w:val="center"/>
      </w:pPr>
      <w:r>
        <w:rPr>
          <w:b/>
          <w:bCs/>
          <w:color w:val="1A1A1A"/>
          <w:sz w:val="36"/>
          <w:szCs w:val="36"/>
        </w:rPr>
        <w:t xml:space="preserve">APPROVED WITH CONDITIONS</w:t>
      </w:r>
    </w:p>
    <w:p>
      <w:pPr>
        <w:spacing w:after="30" w:before="30"/>
      </w:pPr>
    </w:p>
    <w:p>
      <w:pPr>
        <w:spacing w:after="60" w:before="60"/>
      </w:pPr>
      <w:r>
        <w:rPr>
          <w:color w:val="1A1A1A"/>
          <w:sz w:val="21"/>
          <w:szCs w:val="21"/>
        </w:rPr>
        <w:t xml:space="preserve">Gate 1 is APPROVED WITH CONDITIONS. The spec, constitution, and status.md together form a coherent package with genuine SDD discipline — a populated constitution, a versioned spec with a transparent evolution narrative, test cases covering all ACs, and a clear delivery cadence. The submission demonstrates strong practical execution and accessible documentation.</w:t>
      </w:r>
    </w:p>
    <w:p>
      <w:pPr>
        <w:spacing w:after="30" w:before="30"/>
      </w:pPr>
    </w:p>
    <w:p>
      <w:pPr>
        <w:spacing w:after="60" w:before="60"/>
      </w:pPr>
      <w:r>
        <w:rPr>
          <w:color w:val="1A1A1A"/>
          <w:sz w:val="21"/>
          <w:szCs w:val="21"/>
        </w:rPr>
        <w:t xml:space="preserve">The primary condition is Finding #1 — the three embedded business decisions (IT trigger rule, employee confirmation step, effective date role). These must be acknowledged as named assumptions with proposed resolutions before the Milestone 3 plan is written. Writing a data model, task list, and implementation against implicit business decisions is the scenario SDD Gate 1 exists to prevent. Finding #2 (discovery analysis not submitted) should be resolved before Gate 1 is closed.</w:t>
      </w:r>
    </w:p>
    <w:p>
      <w:pPr>
        <w:spacing w:after="30" w:before="30"/>
      </w:pPr>
    </w:p>
    <w:p>
      <w:pPr>
        <w:spacing w:after="60" w:before="60"/>
      </w:pPr>
      <w:r>
        <w:rPr>
          <w:color w:val="1A1A1A"/>
          <w:sz w:val="21"/>
          <w:szCs w:val="21"/>
        </w:rPr>
        <w:t xml:space="preserve">Findings #3 through #6 (rejection visibility, API02 403, rate-limiting, downstream timeout) do not block Milestone 3 planning but must be resolved before implementation begins. Finding #7 is minor and can be addressed in parallel.</w:t>
      </w:r>
    </w:p>
    <w:p>
      <w:pPr>
        <w:spacing w:after="30" w:before="30"/>
      </w:pPr>
    </w:p>
    <w:p>
      <w:pPr>
        <w:spacing w:after="60" w:before="60"/>
      </w:pPr>
      <w:r>
        <w:rPr>
          <w:color w:val="1A1A1A"/>
          <w:sz w:val="21"/>
          <w:szCs w:val="21"/>
        </w:rPr>
        <w:t xml:space="preserve">The strengths of this submission — the populated constitution, the transparent version history, the accessible AC language, and the no-code-before-Gate-1 discipline on the v1.3 delta — are practices that should be carried forward and are worth adopting as standards for the rest of the team. The development area is the business discovery layer: surfacing implicit decisions as named, confirmed decisions before they become code.</w:t>
      </w:r>
    </w:p>
    <w:p>
      <w:pPr>
        <w:spacing w:after="30" w:before="30"/>
      </w:pPr>
    </w:p>
    <w:p>
      <w:pPr>
        <w:spacing w:after="30" w:before="30"/>
      </w:pPr>
    </w:p>
    <w:p>
      <w:pPr>
        <w:jc w:val="right"/>
      </w:pPr>
      <w:r>
        <w:rPr>
          <w:color w:val="4A4A4A"/>
          <w:sz w:val="18"/>
          <w:szCs w:val="18"/>
        </w:rPr>
        <w:t xml:space="preserve">Reviewed by: Soumyadeep  |  INT Delivery Leadership  |  08 September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2026-09-08T00:01:16.030Z</dcterms:created>
  <dcterms:modified xsi:type="dcterms:W3CDTF">2026-09-08T00:01:16.048Z</dcterms:modified>
</cp:coreProperties>
</file>

<file path=docProps/custom.xml><?xml version="1.0" encoding="utf-8"?>
<Properties xmlns="http://schemas.openxmlformats.org/officeDocument/2006/custom-properties" xmlns:vt="http://schemas.openxmlformats.org/officeDocument/2006/docPropsVTypes"/>
</file>