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0AF" w:rsidRPr="00015BD3" w:rsidRDefault="00015BD3">
      <w:pPr>
        <w:spacing w:after="0"/>
        <w:jc w:val="center"/>
        <w:rPr>
          <w:b/>
          <w:sz w:val="26"/>
          <w:szCs w:val="26"/>
        </w:rPr>
      </w:pPr>
      <w:r w:rsidRPr="00015BD3">
        <w:rPr>
          <w:b/>
          <w:sz w:val="26"/>
          <w:szCs w:val="26"/>
        </w:rPr>
        <w:t>Project Design Phase</w:t>
      </w:r>
    </w:p>
    <w:p w:rsidR="00E370AF" w:rsidRPr="00015BD3" w:rsidRDefault="00015BD3">
      <w:pPr>
        <w:spacing w:after="0"/>
        <w:jc w:val="center"/>
        <w:rPr>
          <w:b/>
          <w:sz w:val="26"/>
          <w:szCs w:val="26"/>
        </w:rPr>
      </w:pPr>
      <w:r w:rsidRPr="00015BD3">
        <w:rPr>
          <w:b/>
          <w:sz w:val="26"/>
          <w:szCs w:val="26"/>
        </w:rPr>
        <w:t>Solution Architecture</w:t>
      </w:r>
    </w:p>
    <w:p w:rsidR="00E370AF" w:rsidRPr="00015BD3" w:rsidRDefault="00E370AF">
      <w:pPr>
        <w:spacing w:after="0"/>
        <w:jc w:val="center"/>
        <w:rPr>
          <w:b/>
          <w:sz w:val="26"/>
          <w:szCs w:val="26"/>
        </w:rPr>
      </w:pPr>
    </w:p>
    <w:tbl>
      <w:tblPr>
        <w:tblStyle w:val="a"/>
        <w:tblW w:w="9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9"/>
        <w:gridCol w:w="4609"/>
      </w:tblGrid>
      <w:tr w:rsidR="00E370AF" w:rsidRPr="00015BD3" w:rsidTr="00015BD3">
        <w:trPr>
          <w:trHeight w:val="395"/>
        </w:trPr>
        <w:tc>
          <w:tcPr>
            <w:tcW w:w="4609" w:type="dxa"/>
          </w:tcPr>
          <w:p w:rsidR="00E370AF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Date</w:t>
            </w:r>
          </w:p>
        </w:tc>
        <w:tc>
          <w:tcPr>
            <w:tcW w:w="4609" w:type="dxa"/>
          </w:tcPr>
          <w:p w:rsidR="00650D26" w:rsidRPr="00015BD3" w:rsidRDefault="00AE396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  <w:bookmarkStart w:id="0" w:name="_GoBack"/>
            <w:bookmarkEnd w:id="0"/>
            <w:r w:rsidR="00015BD3" w:rsidRPr="00015BD3">
              <w:rPr>
                <w:sz w:val="26"/>
                <w:szCs w:val="26"/>
              </w:rPr>
              <w:t xml:space="preserve"> October 2026</w:t>
            </w:r>
          </w:p>
        </w:tc>
      </w:tr>
      <w:tr w:rsidR="00E370AF" w:rsidRPr="00015BD3" w:rsidTr="00015BD3">
        <w:trPr>
          <w:trHeight w:val="410"/>
        </w:trPr>
        <w:tc>
          <w:tcPr>
            <w:tcW w:w="4609" w:type="dxa"/>
          </w:tcPr>
          <w:p w:rsidR="00E370AF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Team ID</w:t>
            </w:r>
          </w:p>
        </w:tc>
        <w:tc>
          <w:tcPr>
            <w:tcW w:w="4609" w:type="dxa"/>
          </w:tcPr>
          <w:p w:rsidR="00650D26" w:rsidRPr="00015BD3" w:rsidRDefault="00AE396C">
            <w:pPr>
              <w:rPr>
                <w:sz w:val="26"/>
                <w:szCs w:val="26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SWTID-2026-8647</w:t>
            </w:r>
          </w:p>
        </w:tc>
      </w:tr>
      <w:tr w:rsidR="00E370AF" w:rsidRPr="00015BD3" w:rsidTr="00015BD3">
        <w:trPr>
          <w:trHeight w:val="790"/>
        </w:trPr>
        <w:tc>
          <w:tcPr>
            <w:tcW w:w="4609" w:type="dxa"/>
          </w:tcPr>
          <w:p w:rsidR="00E370AF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Project Name</w:t>
            </w:r>
          </w:p>
        </w:tc>
        <w:tc>
          <w:tcPr>
            <w:tcW w:w="4609" w:type="dxa"/>
          </w:tcPr>
          <w:p w:rsidR="00650D26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Implement Client Script &amp; UI Policy (Incident)</w:t>
            </w:r>
          </w:p>
        </w:tc>
      </w:tr>
      <w:tr w:rsidR="00E370AF" w:rsidRPr="00015BD3" w:rsidTr="00015BD3">
        <w:trPr>
          <w:trHeight w:val="395"/>
        </w:trPr>
        <w:tc>
          <w:tcPr>
            <w:tcW w:w="4609" w:type="dxa"/>
          </w:tcPr>
          <w:p w:rsidR="00E370AF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Maximum Marks</w:t>
            </w:r>
          </w:p>
        </w:tc>
        <w:tc>
          <w:tcPr>
            <w:tcW w:w="4609" w:type="dxa"/>
          </w:tcPr>
          <w:p w:rsidR="00650D26" w:rsidRPr="00015BD3" w:rsidRDefault="00015BD3">
            <w:pPr>
              <w:rPr>
                <w:sz w:val="26"/>
                <w:szCs w:val="26"/>
              </w:rPr>
            </w:pPr>
            <w:r w:rsidRPr="00015BD3">
              <w:rPr>
                <w:sz w:val="26"/>
                <w:szCs w:val="26"/>
              </w:rPr>
              <w:t>4 Marks</w:t>
            </w:r>
          </w:p>
        </w:tc>
      </w:tr>
    </w:tbl>
    <w:p w:rsidR="00E370AF" w:rsidRPr="00015BD3" w:rsidRDefault="00E370AF">
      <w:pPr>
        <w:rPr>
          <w:b/>
          <w:sz w:val="26"/>
          <w:szCs w:val="26"/>
        </w:rPr>
      </w:pPr>
    </w:p>
    <w:p w:rsidR="00E370AF" w:rsidRPr="00015BD3" w:rsidRDefault="00015BD3">
      <w:pPr>
        <w:rPr>
          <w:rFonts w:eastAsia="Arial"/>
          <w:b/>
          <w:color w:val="000000"/>
          <w:sz w:val="26"/>
          <w:szCs w:val="26"/>
        </w:rPr>
      </w:pPr>
      <w:r w:rsidRPr="00015BD3">
        <w:rPr>
          <w:rFonts w:eastAsia="Arial"/>
          <w:b/>
          <w:color w:val="000000"/>
          <w:sz w:val="26"/>
          <w:szCs w:val="26"/>
        </w:rPr>
        <w:t>Solution Architecture:</w:t>
      </w:r>
    </w:p>
    <w:p w:rsidR="00E370AF" w:rsidRPr="00015BD3" w:rsidRDefault="00015BD3">
      <w:pPr>
        <w:shd w:val="clear" w:color="auto" w:fill="FFFFFF"/>
        <w:spacing w:after="375" w:line="240" w:lineRule="auto"/>
        <w:rPr>
          <w:rFonts w:eastAsia="Arial"/>
          <w:color w:val="000000"/>
          <w:sz w:val="26"/>
          <w:szCs w:val="26"/>
        </w:rPr>
      </w:pPr>
      <w:r w:rsidRPr="00015BD3">
        <w:rPr>
          <w:sz w:val="26"/>
          <w:szCs w:val="26"/>
        </w:rPr>
        <w:t>For this project, the solution architecture bridges the Incident data-quality problem with ServiceNow configuration-based client-side controls. The architecture is designed to:</w:t>
      </w:r>
    </w:p>
    <w:p w:rsidR="00E370AF" w:rsidRPr="00015BD3" w:rsidRDefault="00015BD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eastAsia="Arial"/>
          <w:color w:val="000000"/>
          <w:sz w:val="26"/>
          <w:szCs w:val="26"/>
        </w:rPr>
      </w:pPr>
      <w:r w:rsidRPr="00015BD3">
        <w:rPr>
          <w:sz w:val="26"/>
          <w:szCs w:val="26"/>
        </w:rPr>
        <w:t>Use the ServiceNow Incident form as the main interaction point for users.</w:t>
      </w:r>
    </w:p>
    <w:p w:rsidR="00E370AF" w:rsidRPr="00015BD3" w:rsidRDefault="00015BD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Arial"/>
          <w:color w:val="000000"/>
          <w:sz w:val="26"/>
          <w:szCs w:val="26"/>
        </w:rPr>
      </w:pPr>
      <w:r w:rsidRPr="00015BD3">
        <w:rPr>
          <w:sz w:val="26"/>
          <w:szCs w:val="26"/>
        </w:rPr>
        <w:t>Apply a UI Policy and UI Policy Actions to dynamically control mandatory, visible, and read-only field behavior.</w:t>
      </w:r>
    </w:p>
    <w:p w:rsidR="00E370AF" w:rsidRPr="00015BD3" w:rsidRDefault="00015BD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Arial"/>
          <w:color w:val="000000"/>
          <w:sz w:val="26"/>
          <w:szCs w:val="26"/>
        </w:rPr>
      </w:pPr>
      <w:r w:rsidRPr="00015BD3">
        <w:rPr>
          <w:sz w:val="26"/>
          <w:szCs w:val="26"/>
        </w:rPr>
        <w:t>Use a basic Client Script configuration to support client-side checking and appropriate user feedback.</w:t>
      </w:r>
    </w:p>
    <w:p w:rsidR="00E370AF" w:rsidRPr="00015BD3" w:rsidRDefault="00015BD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eastAsia="Arial"/>
          <w:color w:val="000000"/>
          <w:sz w:val="26"/>
          <w:szCs w:val="26"/>
        </w:rPr>
      </w:pPr>
      <w:r w:rsidRPr="00015BD3">
        <w:rPr>
          <w:sz w:val="26"/>
          <w:szCs w:val="26"/>
        </w:rPr>
        <w:t>Guide complete Incident information toward a valid Incident record while keeping the configuration simple and maintainable.</w:t>
      </w:r>
    </w:p>
    <w:p w:rsidR="00E370AF" w:rsidRPr="00015BD3" w:rsidRDefault="00E370AF">
      <w:pPr>
        <w:rPr>
          <w:b/>
          <w:sz w:val="26"/>
          <w:szCs w:val="26"/>
        </w:rPr>
      </w:pPr>
    </w:p>
    <w:p w:rsidR="00E370AF" w:rsidRPr="00015BD3" w:rsidRDefault="00015BD3">
      <w:pPr>
        <w:rPr>
          <w:b/>
          <w:sz w:val="26"/>
          <w:szCs w:val="26"/>
        </w:rPr>
      </w:pPr>
      <w:r w:rsidRPr="00015BD3">
        <w:rPr>
          <w:sz w:val="26"/>
          <w:szCs w:val="26"/>
        </w:rPr>
        <w:t>Solution Architecture Diagram</w:t>
      </w:r>
      <w:r>
        <w:rPr>
          <w:sz w:val="26"/>
          <w:szCs w:val="26"/>
        </w:rPr>
        <w:t xml:space="preserve"> </w:t>
      </w:r>
      <w:r w:rsidRPr="00015BD3">
        <w:rPr>
          <w:sz w:val="26"/>
          <w:szCs w:val="26"/>
        </w:rPr>
        <w:t>:</w:t>
      </w:r>
    </w:p>
    <w:p w:rsidR="00E370AF" w:rsidRPr="00015BD3" w:rsidRDefault="00E370AF">
      <w:pPr>
        <w:rPr>
          <w:b/>
          <w:sz w:val="26"/>
          <w:szCs w:val="26"/>
        </w:rPr>
      </w:pPr>
    </w:p>
    <w:p w:rsidR="00E370AF" w:rsidRPr="00015BD3" w:rsidRDefault="00015BD3">
      <w:pPr>
        <w:tabs>
          <w:tab w:val="left" w:pos="5529"/>
        </w:tabs>
        <w:rPr>
          <w:b/>
          <w:sz w:val="26"/>
          <w:szCs w:val="26"/>
        </w:rPr>
      </w:pPr>
      <w:r w:rsidRPr="00015BD3">
        <w:rPr>
          <w:noProof/>
          <w:sz w:val="26"/>
          <w:szCs w:val="26"/>
          <w:lang w:val="en-US" w:eastAsia="en-US"/>
        </w:rPr>
        <w:drawing>
          <wp:inline distT="0" distB="0" distL="0" distR="0" wp14:anchorId="2FD46D14" wp14:editId="03695530">
            <wp:extent cx="5257800" cy="2331720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1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Pr="00015BD3" w:rsidRDefault="00015BD3">
      <w:pPr>
        <w:rPr>
          <w:b/>
          <w:sz w:val="26"/>
          <w:szCs w:val="26"/>
        </w:rPr>
      </w:pPr>
      <w:r w:rsidRPr="00015BD3">
        <w:rPr>
          <w:sz w:val="26"/>
          <w:szCs w:val="26"/>
        </w:rPr>
        <w:t>Figure 1: Solution architecture and data flow of the ServiceNow Incident form</w:t>
      </w:r>
    </w:p>
    <w:p w:rsidR="00E370AF" w:rsidRPr="00015BD3" w:rsidRDefault="00015BD3">
      <w:pPr>
        <w:rPr>
          <w:b/>
          <w:sz w:val="26"/>
          <w:szCs w:val="26"/>
        </w:rPr>
      </w:pPr>
      <w:r w:rsidRPr="00015BD3">
        <w:rPr>
          <w:sz w:val="26"/>
          <w:szCs w:val="26"/>
        </w:rPr>
        <w:lastRenderedPageBreak/>
        <w:t>Reference: ServiceNow Developer Documentation – UI Policies and Client-side Scripting.</w:t>
      </w:r>
    </w:p>
    <w:p w:rsidR="00E370AF" w:rsidRPr="00015BD3" w:rsidRDefault="00E370AF">
      <w:pPr>
        <w:rPr>
          <w:b/>
          <w:sz w:val="26"/>
          <w:szCs w:val="26"/>
        </w:rPr>
      </w:pPr>
    </w:p>
    <w:p w:rsidR="00E370AF" w:rsidRPr="00015BD3" w:rsidRDefault="00E370AF">
      <w:pPr>
        <w:rPr>
          <w:b/>
          <w:sz w:val="26"/>
          <w:szCs w:val="26"/>
        </w:rPr>
      </w:pPr>
    </w:p>
    <w:sectPr w:rsidR="00E370AF" w:rsidRPr="00015BD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78CDA942-E369-48EB-A57A-A139036A69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86EA0A-4A86-4339-A0D6-9BAAAD1A5A23}"/>
    <w:embedBold r:id="rId3" w:fontKey="{29C31FF6-7C54-4092-9BBE-B7BF0F8E4B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BF21AA2-A217-47DE-92E6-C3818A4F7BDE}"/>
    <w:embedItalic r:id="rId5" w:fontKey="{2E5AA592-211F-49F4-8212-7ACD70480CC0}"/>
  </w:font>
  <w:font w:name="Montserra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16F7F06-D3D6-433D-A61C-3845AABF73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015BD3"/>
    <w:rsid w:val="00267921"/>
    <w:rsid w:val="00650D26"/>
    <w:rsid w:val="00862077"/>
    <w:rsid w:val="00AE396C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9B89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Windows User</cp:lastModifiedBy>
  <cp:revision>4</cp:revision>
  <dcterms:created xsi:type="dcterms:W3CDTF">2022-10-03T08:27:00Z</dcterms:created>
  <dcterms:modified xsi:type="dcterms:W3CDTF">2026-10-03T06:11:00Z</dcterms:modified>
</cp:coreProperties>
</file>