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2942"/>
          <w:sz w:val="52"/>
        </w:rPr>
        <w:t>Migration AI Studio</w:t>
      </w:r>
    </w:p>
    <w:p>
      <w:pPr>
        <w:spacing w:before="0" w:after="320"/>
      </w:pPr>
      <w:r>
        <w:rPr>
          <w:rFonts w:ascii="Segoe UI" w:hAnsi="Segoe UI"/>
          <w:b/>
          <w:color w:val="2563EB"/>
          <w:sz w:val="28"/>
        </w:rPr>
        <w:t>Implementation Specification: Scheduled Incremental Data Migration Engine</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b/>
                <w:color w:val="0F2942"/>
                <w:sz w:val="19"/>
              </w:rPr>
              <w:t>Architecture Model</w:t>
            </w:r>
          </w:p>
        </w:tc>
        <w:tc>
          <w:tcPr>
            <w:tcW w:type="dxa" w:w="6192"/>
            <w:shd w:fill="F8FAFC"/>
            <w:tcMar>
              <w:top w:w="80" w:type="dxa"/>
              <w:bottom w:w="80" w:type="dxa"/>
              <w:left w:w="120" w:type="dxa"/>
              <w:right w:w="120" w:type="dxa"/>
            </w:tcMar>
          </w:tcPr>
          <w:p>
            <w:r>
              <w:rPr>
                <w:color w:val="1E293B"/>
                <w:sz w:val="19"/>
              </w:rPr>
              <w:t>Enterprise-Grade Power BI &amp; ADF Incremental Refresh Architecture</w:t>
            </w:r>
          </w:p>
        </w:tc>
      </w:tr>
      <w:tr>
        <w:tc>
          <w:tcPr>
            <w:tcW w:type="dxa" w:w="3168"/>
            <w:shd w:fill="F1F5F9"/>
            <w:tcMar>
              <w:top w:w="80" w:type="dxa"/>
              <w:bottom w:w="80" w:type="dxa"/>
              <w:left w:w="120" w:type="dxa"/>
              <w:right w:w="120" w:type="dxa"/>
            </w:tcMar>
          </w:tcPr>
          <w:p>
            <w:r>
              <w:rPr>
                <w:b/>
                <w:color w:val="0F2942"/>
                <w:sz w:val="19"/>
              </w:rPr>
              <w:t>Source / Target</w:t>
            </w:r>
          </w:p>
        </w:tc>
        <w:tc>
          <w:tcPr>
            <w:tcW w:type="dxa" w:w="6192"/>
            <w:shd w:fill="F8FAFC"/>
            <w:tcMar>
              <w:top w:w="80" w:type="dxa"/>
              <w:bottom w:w="80" w:type="dxa"/>
              <w:left w:w="120" w:type="dxa"/>
              <w:right w:w="120" w:type="dxa"/>
            </w:tcMar>
          </w:tcPr>
          <w:p>
            <w:r>
              <w:rPr>
                <w:color w:val="1E293B"/>
                <w:sz w:val="19"/>
              </w:rPr>
              <w:t>Microsoft SQL Server ➔ Databricks Delta Lake (Unity Catalog)</w:t>
            </w:r>
          </w:p>
        </w:tc>
      </w:tr>
      <w:tr>
        <w:tc>
          <w:tcPr>
            <w:tcW w:type="dxa" w:w="3168"/>
            <w:shd w:fill="F1F5F9"/>
            <w:tcMar>
              <w:top w:w="80" w:type="dxa"/>
              <w:bottom w:w="80" w:type="dxa"/>
              <w:left w:w="120" w:type="dxa"/>
              <w:right w:w="120" w:type="dxa"/>
            </w:tcMar>
          </w:tcPr>
          <w:p>
            <w:r>
              <w:rPr>
                <w:b/>
                <w:color w:val="0F2942"/>
                <w:sz w:val="19"/>
              </w:rPr>
              <w:t>Core Capabilities</w:t>
            </w:r>
          </w:p>
        </w:tc>
        <w:tc>
          <w:tcPr>
            <w:tcW w:type="dxa" w:w="6192"/>
            <w:shd w:fill="F8FAFC"/>
            <w:tcMar>
              <w:top w:w="80" w:type="dxa"/>
              <w:bottom w:w="80" w:type="dxa"/>
              <w:left w:w="120" w:type="dxa"/>
              <w:right w:w="120" w:type="dxa"/>
            </w:tcMar>
          </w:tcPr>
          <w:p>
            <w:r>
              <w:rPr>
                <w:color w:val="1E293B"/>
                <w:sz w:val="19"/>
              </w:rPr>
              <w:t>Watermark Extraction, Delta Lake MERGE/UPSERT, Async Cron Scheduler, Brevo Digest Alerts</w:t>
            </w:r>
          </w:p>
        </w:tc>
      </w:tr>
      <w:tr>
        <w:tc>
          <w:tcPr>
            <w:tcW w:type="dxa" w:w="3168"/>
            <w:shd w:fill="F1F5F9"/>
            <w:tcMar>
              <w:top w:w="80" w:type="dxa"/>
              <w:bottom w:w="80" w:type="dxa"/>
              <w:left w:w="120" w:type="dxa"/>
              <w:right w:w="120" w:type="dxa"/>
            </w:tcMar>
          </w:tcPr>
          <w:p>
            <w:r>
              <w:rPr>
                <w:b/>
                <w:color w:val="0F2942"/>
                <w:sz w:val="19"/>
              </w:rPr>
              <w:t>Version &amp; Status</w:t>
            </w:r>
          </w:p>
        </w:tc>
        <w:tc>
          <w:tcPr>
            <w:tcW w:type="dxa" w:w="6192"/>
            <w:shd w:fill="F8FAFC"/>
            <w:tcMar>
              <w:top w:w="80" w:type="dxa"/>
              <w:bottom w:w="80" w:type="dxa"/>
              <w:left w:w="120" w:type="dxa"/>
              <w:right w:w="120" w:type="dxa"/>
            </w:tcMar>
          </w:tcPr>
          <w:p>
            <w:r>
              <w:rPr>
                <w:color w:val="1E293B"/>
                <w:sz w:val="19"/>
              </w:rPr>
              <w:t>v2.5.0 Specification Blueprint — Ready for Engineering Implementation</w:t>
            </w:r>
          </w:p>
        </w:tc>
      </w:tr>
    </w:tbl>
    <w:p>
      <w:pPr>
        <w:spacing w:after="160"/>
      </w:pPr>
    </w:p>
    <w:p>
      <w:pPr>
        <w:keepNext/>
        <w:spacing w:before="360" w:after="120"/>
      </w:pPr>
      <w:r>
        <w:rPr>
          <w:rFonts w:ascii="Segoe UI" w:hAnsi="Segoe UI"/>
          <w:b/>
          <w:color w:val="0F2942"/>
          <w:sz w:val="30"/>
        </w:rPr>
        <w:t>1. Executive Summary &amp; Architectural Objective</w:t>
      </w:r>
    </w:p>
    <w:p>
      <w:pPr>
        <w:spacing w:after="160"/>
      </w:pPr>
      <w:r>
        <w:t>Currently, Migration AI Studio executes deterministic full snapshot migrations where an initial point-in-time snapshot of SQL Server tables is ingested into Databricks Bronze Delta tables via optimized Parquet COPY INTO (Pass 2) and promoted to Silver and Gold layers (Pass 3). However, enterprise operational databases continuously ingest thousands of new and updated transactions daily. Re-running a Full Load daily is computationally expensive, introduces unnecessary downtime, and consumes excess Databricks cluster units.</w:t>
        <w:br/>
        <w:br/>
        <w:t>This specification establishes the Scheduled Incremental Data Migration Engine based on industry-standard paradigms found in enterprise analytics platforms such as Microsoft Power BI Incremental Refresh and Azure Data Factory CDC (Change Data Capture). The system will automatically trigger at user-configured schedules, query only changed/added records using High-Watermark tracking, safely MERGE them into Databricks Delta Lake, and dispatch execution summaries via Brevo.</w:t>
      </w:r>
    </w:p>
    <w:p>
      <w:pPr>
        <w:keepNext/>
        <w:spacing w:before="360" w:after="120"/>
      </w:pPr>
      <w:r>
        <w:rPr>
          <w:rFonts w:ascii="Segoe UI" w:hAnsi="Segoe UI"/>
          <w:b/>
          <w:color w:val="0F2942"/>
          <w:sz w:val="30"/>
        </w:rPr>
        <w:t>2. Industry Standard Paradigm: How Power BI &amp; Enterprise Tools Operate</w:t>
      </w:r>
    </w:p>
    <w:p>
      <w:pPr>
        <w:spacing w:after="160"/>
      </w:pPr>
      <w:r>
        <w:t>Enterprise platforms adopt a three-tier lifecycle for scheduled incremental synchronization:</w:t>
      </w:r>
    </w:p>
    <w:p>
      <w:pPr>
        <w:pStyle w:val="ListBullet"/>
        <w:spacing w:after="80"/>
      </w:pPr>
      <w:r>
        <w:rPr>
          <w:b/>
          <w:color w:val="0F2942"/>
        </w:rPr>
        <w:t xml:space="preserve">Tier 1: Initial Historical Baseline (Full Load): </w:t>
      </w:r>
      <w:r>
        <w:t>The initial run performs a full table copy, establishing schema consistency, partitioning, and recording the baseline High-Watermark (maximum LastModifiedDate, CreatedAt, or Primary Key ID).</w:t>
      </w:r>
    </w:p>
    <w:p>
      <w:pPr>
        <w:pStyle w:val="ListBullet"/>
        <w:spacing w:after="80"/>
      </w:pPr>
      <w:r>
        <w:rPr>
          <w:b/>
          <w:color w:val="0F2942"/>
        </w:rPr>
        <w:t xml:space="preserve">Tier 2: Configurable Schedule &amp; Autonomous Background Daemon: </w:t>
      </w:r>
      <w:r>
        <w:t>Administrators define a recurrence pattern (e.g., Daily at 02:00 AM IST/UTC, or Every N Hours). A non-blocking asynchronous daemon awakens, evaluates active schedules, and acquires execution locks.</w:t>
      </w:r>
    </w:p>
    <w:p>
      <w:pPr>
        <w:pStyle w:val="ListBullet"/>
        <w:spacing w:after="80"/>
      </w:pPr>
      <w:r>
        <w:rPr>
          <w:b/>
          <w:color w:val="0F2942"/>
        </w:rPr>
        <w:t xml:space="preserve">Tier 3: Watermark-Bounded Incremental Extraction: </w:t>
      </w:r>
      <w:r>
        <w:t>Rather than executing SELECT * FROM Table, the engine generates bounded predicate queries: SELECT * FROM Table WHERE WatermarkColumn &gt; :PreviousWatermark AND WatermarkColumn &lt;= :CurrentExecutionTime. This isolates only new or mutated records (e.g., 500 rows out of 100,000), reducing ingestion time from minutes to milliseconds.</w:t>
      </w:r>
    </w:p>
    <w:p>
      <w:pPr>
        <w:pStyle w:val="ListBullet"/>
        <w:spacing w:after="80"/>
      </w:pPr>
      <w:r>
        <w:rPr>
          <w:b/>
          <w:color w:val="0F2942"/>
        </w:rPr>
        <w:t xml:space="preserve">Tier 4: Idempotent Delta Lake MERGE / UPSERT: </w:t>
      </w:r>
      <w:r>
        <w:t>Records are staged and merged into target Delta tables using ON Target.PK = Stage.PK WHEN MATCHED THEN UPDATE SET * WHEN NOT MATCHED THEN INSERT *. This ensures zero duplication and handles both new inserts and existing row updates seamlessly.</w:t>
      </w:r>
    </w:p>
    <w:p>
      <w:pPr>
        <w:pStyle w:val="ListBullet"/>
        <w:spacing w:after="80"/>
      </w:pPr>
      <w:r>
        <w:rPr>
          <w:b/>
          <w:color w:val="0F2942"/>
        </w:rPr>
        <w:t xml:space="preserve">Tier 5: Operational Audit Ledger &amp; Automated Digest Alerts: </w:t>
      </w:r>
      <w:r>
        <w:t>Each run records metrics (rows scanned, rows merged, execution latency, error state) and sends automated notifications to stakeholders via Brevo transactional emails.</w:t>
      </w:r>
    </w:p>
    <w:p>
      <w:pPr>
        <w:keepNext/>
        <w:spacing w:before="360" w:after="120"/>
      </w:pPr>
      <w:r>
        <w:rPr>
          <w:rFonts w:ascii="Segoe UI" w:hAnsi="Segoe UI"/>
          <w:b/>
          <w:color w:val="0F2942"/>
          <w:sz w:val="30"/>
        </w:rPr>
        <w:t>3. Technical Architecture &amp; System Flow</w:t>
      </w:r>
    </w:p>
    <w:p>
      <w:pPr>
        <w:spacing w:after="160"/>
      </w:pPr>
      <w:r>
        <w:t>The scheduled architecture incorporates four tightly integrated subsystems across the stack:</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100" w:type="dxa"/>
              <w:bottom w:w="100" w:type="dxa"/>
              <w:left w:w="120" w:type="dxa"/>
              <w:right w:w="120" w:type="dxa"/>
            </w:tcMar>
          </w:tcPr>
          <w:p>
            <w:r>
              <w:rPr>
                <w:b/>
                <w:color w:val="FFFFFF"/>
                <w:sz w:val="19"/>
              </w:rPr>
              <w:t>Subsystem</w:t>
            </w:r>
          </w:p>
        </w:tc>
        <w:tc>
          <w:tcPr>
            <w:tcW w:type="dxa" w:w="3120"/>
            <w:shd w:fill="0F2942"/>
            <w:tcMar>
              <w:top w:w="100" w:type="dxa"/>
              <w:bottom w:w="100" w:type="dxa"/>
              <w:left w:w="120" w:type="dxa"/>
              <w:right w:w="120" w:type="dxa"/>
            </w:tcMar>
          </w:tcPr>
          <w:p>
            <w:r>
              <w:rPr>
                <w:b/>
                <w:color w:val="FFFFFF"/>
                <w:sz w:val="19"/>
              </w:rPr>
              <w:t>Component Location</w:t>
            </w:r>
          </w:p>
        </w:tc>
        <w:tc>
          <w:tcPr>
            <w:tcW w:type="dxa" w:w="3120"/>
            <w:shd w:fill="0F2942"/>
            <w:tcMar>
              <w:top w:w="100" w:type="dxa"/>
              <w:bottom w:w="100" w:type="dxa"/>
              <w:left w:w="120" w:type="dxa"/>
              <w:right w:w="120" w:type="dxa"/>
            </w:tcMar>
          </w:tcPr>
          <w:p>
            <w:r>
              <w:rPr>
                <w:b/>
                <w:color w:val="FFFFFF"/>
                <w:sz w:val="19"/>
              </w:rPr>
              <w:t>Responsibilities &amp; Mechanism</w:t>
            </w:r>
          </w:p>
        </w:tc>
      </w:tr>
      <w:tr>
        <w:tc>
          <w:tcPr>
            <w:tcW w:type="dxa" w:w="2592"/>
            <w:shd w:fill="FFFFFF"/>
            <w:tcMar>
              <w:top w:w="80" w:type="dxa"/>
              <w:bottom w:w="80" w:type="dxa"/>
              <w:left w:w="100" w:type="dxa"/>
              <w:right w:w="100" w:type="dxa"/>
            </w:tcMar>
          </w:tcPr>
          <w:p>
            <w:r>
              <w:rPr>
                <w:color w:val="1E293B"/>
                <w:sz w:val="18"/>
              </w:rPr>
              <w:t>Scheduler Daemon &amp; State Store</w:t>
            </w:r>
          </w:p>
        </w:tc>
        <w:tc>
          <w:tcPr>
            <w:tcW w:type="dxa" w:w="3168"/>
            <w:shd w:fill="FFFFFF"/>
            <w:tcMar>
              <w:top w:w="80" w:type="dxa"/>
              <w:bottom w:w="80" w:type="dxa"/>
              <w:left w:w="100" w:type="dxa"/>
              <w:right w:w="100" w:type="dxa"/>
            </w:tcMar>
          </w:tcPr>
          <w:p>
            <w:r>
              <w:rPr>
                <w:color w:val="1E293B"/>
                <w:sz w:val="18"/>
              </w:rPr>
              <w:t>backend/app/services/scheduler.py</w:t>
              <w:br/>
              <w:t>backend/app/models/entities.py</w:t>
            </w:r>
          </w:p>
        </w:tc>
        <w:tc>
          <w:tcPr>
            <w:tcW w:type="dxa" w:w="3888"/>
            <w:shd w:fill="FFFFFF"/>
            <w:tcMar>
              <w:top w:w="80" w:type="dxa"/>
              <w:bottom w:w="80" w:type="dxa"/>
              <w:left w:w="100" w:type="dxa"/>
              <w:right w:w="100" w:type="dxa"/>
            </w:tcMar>
          </w:tcPr>
          <w:p>
            <w:r>
              <w:rPr>
                <w:color w:val="1E293B"/>
                <w:sz w:val="18"/>
              </w:rPr>
              <w:t>Background AsyncIO / APScheduler service running on FastAPI startup. Maintains schedule configs, active cron jobs, execution locks, and status in database.</w:t>
            </w:r>
          </w:p>
        </w:tc>
      </w:tr>
      <w:tr>
        <w:tc>
          <w:tcPr>
            <w:tcW w:type="dxa" w:w="2592"/>
            <w:shd w:fill="F8FAFC"/>
            <w:tcMar>
              <w:top w:w="80" w:type="dxa"/>
              <w:bottom w:w="80" w:type="dxa"/>
              <w:left w:w="100" w:type="dxa"/>
              <w:right w:w="100" w:type="dxa"/>
            </w:tcMar>
          </w:tcPr>
          <w:p>
            <w:r>
              <w:rPr>
                <w:color w:val="1E293B"/>
                <w:sz w:val="18"/>
              </w:rPr>
              <w:t>Smart Watermark Ingestion Engine</w:t>
            </w:r>
          </w:p>
        </w:tc>
        <w:tc>
          <w:tcPr>
            <w:tcW w:type="dxa" w:w="3168"/>
            <w:shd w:fill="F8FAFC"/>
            <w:tcMar>
              <w:top w:w="80" w:type="dxa"/>
              <w:bottom w:w="80" w:type="dxa"/>
              <w:left w:w="100" w:type="dxa"/>
              <w:right w:w="100" w:type="dxa"/>
            </w:tcMar>
          </w:tcPr>
          <w:p>
            <w:r>
              <w:rPr>
                <w:color w:val="1E293B"/>
                <w:sz w:val="18"/>
              </w:rPr>
              <w:t>backend/app/services/bronze_ingestion.py</w:t>
              <w:br/>
              <w:t>backend/app/services/watermark.py</w:t>
            </w:r>
          </w:p>
        </w:tc>
        <w:tc>
          <w:tcPr>
            <w:tcW w:type="dxa" w:w="3888"/>
            <w:shd w:fill="F8FAFC"/>
            <w:tcMar>
              <w:top w:w="80" w:type="dxa"/>
              <w:bottom w:w="80" w:type="dxa"/>
              <w:left w:w="100" w:type="dxa"/>
              <w:right w:w="100" w:type="dxa"/>
            </w:tcMar>
          </w:tcPr>
          <w:p>
            <w:r>
              <w:rPr>
                <w:color w:val="1E293B"/>
                <w:sz w:val="18"/>
              </w:rPr>
              <w:t>Inspects table metadata to detect DateTime / Auto-increment columns. Builds parameterized incremental queries and updates the MigrationWatermark ledger.</w:t>
            </w:r>
          </w:p>
        </w:tc>
      </w:tr>
      <w:tr>
        <w:tc>
          <w:tcPr>
            <w:tcW w:type="dxa" w:w="2592"/>
            <w:shd w:fill="FFFFFF"/>
            <w:tcMar>
              <w:top w:w="80" w:type="dxa"/>
              <w:bottom w:w="80" w:type="dxa"/>
              <w:left w:w="100" w:type="dxa"/>
              <w:right w:w="100" w:type="dxa"/>
            </w:tcMar>
          </w:tcPr>
          <w:p>
            <w:r>
              <w:rPr>
                <w:color w:val="1E293B"/>
                <w:sz w:val="18"/>
              </w:rPr>
              <w:t>Delta Lake MERGE Orchestrator</w:t>
            </w:r>
          </w:p>
        </w:tc>
        <w:tc>
          <w:tcPr>
            <w:tcW w:type="dxa" w:w="3168"/>
            <w:shd w:fill="FFFFFF"/>
            <w:tcMar>
              <w:top w:w="80" w:type="dxa"/>
              <w:bottom w:w="80" w:type="dxa"/>
              <w:left w:w="100" w:type="dxa"/>
              <w:right w:w="100" w:type="dxa"/>
            </w:tcMar>
          </w:tcPr>
          <w:p>
            <w:r>
              <w:rPr>
                <w:color w:val="1E293B"/>
                <w:sz w:val="18"/>
              </w:rPr>
              <w:t>backend/app/services/bronze_ingestion.py</w:t>
              <w:br/>
              <w:t>backend/app/services/medallion.py</w:t>
            </w:r>
          </w:p>
        </w:tc>
        <w:tc>
          <w:tcPr>
            <w:tcW w:type="dxa" w:w="3888"/>
            <w:shd w:fill="FFFFFF"/>
            <w:tcMar>
              <w:top w:w="80" w:type="dxa"/>
              <w:bottom w:w="80" w:type="dxa"/>
              <w:left w:w="100" w:type="dxa"/>
              <w:right w:w="100" w:type="dxa"/>
            </w:tcMar>
          </w:tcPr>
          <w:p>
            <w:r>
              <w:rPr>
                <w:color w:val="1E293B"/>
                <w:sz w:val="18"/>
              </w:rPr>
              <w:t>Leverages Databricks Delta Lake ACID transaction guarantees. Stages delta records into _migration_staging and executes MERGE INTO target tables.</w:t>
            </w:r>
          </w:p>
        </w:tc>
      </w:tr>
      <w:tr>
        <w:tc>
          <w:tcPr>
            <w:tcW w:type="dxa" w:w="2592"/>
            <w:shd w:fill="F8FAFC"/>
            <w:tcMar>
              <w:top w:w="80" w:type="dxa"/>
              <w:bottom w:w="80" w:type="dxa"/>
              <w:left w:w="100" w:type="dxa"/>
              <w:right w:w="100" w:type="dxa"/>
            </w:tcMar>
          </w:tcPr>
          <w:p>
            <w:r>
              <w:rPr>
                <w:color w:val="1E293B"/>
                <w:sz w:val="18"/>
              </w:rPr>
              <w:t>Schedule UI &amp; Configuration Card</w:t>
            </w:r>
          </w:p>
        </w:tc>
        <w:tc>
          <w:tcPr>
            <w:tcW w:type="dxa" w:w="3168"/>
            <w:shd w:fill="F8FAFC"/>
            <w:tcMar>
              <w:top w:w="80" w:type="dxa"/>
              <w:bottom w:w="80" w:type="dxa"/>
              <w:left w:w="100" w:type="dxa"/>
              <w:right w:w="100" w:type="dxa"/>
            </w:tcMar>
          </w:tcPr>
          <w:p>
            <w:r>
              <w:rPr>
                <w:color w:val="1E293B"/>
                <w:sz w:val="18"/>
              </w:rPr>
              <w:t>frontend/src/App.tsx</w:t>
            </w:r>
          </w:p>
        </w:tc>
        <w:tc>
          <w:tcPr>
            <w:tcW w:type="dxa" w:w="3888"/>
            <w:shd w:fill="F8FAFC"/>
            <w:tcMar>
              <w:top w:w="80" w:type="dxa"/>
              <w:bottom w:w="80" w:type="dxa"/>
              <w:left w:w="100" w:type="dxa"/>
              <w:right w:w="100" w:type="dxa"/>
            </w:tcMar>
          </w:tcPr>
          <w:p>
            <w:r>
              <w:rPr>
                <w:color w:val="1E293B"/>
                <w:sz w:val="18"/>
              </w:rPr>
              <w:t>Dedicated intuitive Power BI-like configuration panel inside Stage 3 / Deployments allowing one-click schedule enable, time picker, frequency dropdown, and live execution history.</w:t>
            </w:r>
          </w:p>
        </w:tc>
      </w:tr>
    </w:tbl>
    <w:p>
      <w:pPr>
        <w:spacing w:after="160"/>
      </w:pPr>
    </w:p>
    <w:p>
      <w:pPr>
        <w:keepNext/>
        <w:spacing w:before="360" w:after="120"/>
      </w:pPr>
      <w:r>
        <w:rPr>
          <w:rFonts w:ascii="Segoe UI" w:hAnsi="Segoe UI"/>
          <w:b/>
          <w:color w:val="0F2942"/>
          <w:sz w:val="30"/>
        </w:rPr>
        <w:t>4. Database Schema Specifications (SQLite / PostgreSQL / Supabase)</w:t>
      </w:r>
    </w:p>
    <w:p>
      <w:pPr>
        <w:spacing w:after="120"/>
      </w:pPr>
      <w:r>
        <w:t>To guarantee idempotency and persistence across system restarts, two dedicated schema tables are introduced into the migration control plane:</w:t>
      </w:r>
    </w:p>
    <w:p>
      <w:pPr>
        <w:keepNext/>
        <w:spacing w:before="240" w:after="120"/>
      </w:pPr>
      <w:r>
        <w:rPr>
          <w:rFonts w:ascii="Segoe UI" w:hAnsi="Segoe UI"/>
          <w:b/>
          <w:color w:val="2563EB"/>
          <w:sz w:val="24"/>
        </w:rPr>
        <w:t>Table 1: migration_schedule (Schedule Definitions)</w:t>
      </w:r>
    </w:p>
    <w:p>
      <w:pPr>
        <w:spacing w:after="80"/>
      </w:pPr>
      <w:r>
        <w:t>Stores the project-level schedule frequency, execution time, target environment, notification email, and current activation status.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8"/>
              </w:rPr>
              <w:t>Column Name</w:t>
            </w:r>
          </w:p>
        </w:tc>
        <w:tc>
          <w:tcPr>
            <w:tcW w:type="dxa" w:w="3120"/>
            <w:shd w:fill="1E293B"/>
          </w:tcPr>
          <w:p>
            <w:r>
              <w:rPr>
                <w:b/>
                <w:color w:val="FFFFFF"/>
                <w:sz w:val="18"/>
              </w:rPr>
              <w:t>Data Type</w:t>
            </w:r>
          </w:p>
        </w:tc>
        <w:tc>
          <w:tcPr>
            <w:tcW w:type="dxa" w:w="3120"/>
            <w:shd w:fill="1E293B"/>
          </w:tcPr>
          <w:p>
            <w:r>
              <w:rPr>
                <w:b/>
                <w:color w:val="FFFFFF"/>
                <w:sz w:val="18"/>
              </w:rPr>
              <w:t>Description &amp; Constraints</w:t>
            </w:r>
          </w:p>
        </w:tc>
      </w:tr>
      <w:tr>
        <w:tc>
          <w:tcPr>
            <w:tcW w:type="dxa" w:w="3120"/>
            <w:shd w:fill="FFFFFF"/>
            <w:tcMar>
              <w:top w:w="60" w:type="dxa"/>
              <w:bottom w:w="60" w:type="dxa"/>
              <w:left w:w="100" w:type="dxa"/>
              <w:right w:w="100" w:type="dxa"/>
            </w:tcMar>
          </w:tcPr>
          <w:p>
            <w:r>
              <w:rPr>
                <w:color w:val="1E293B"/>
                <w:sz w:val="17"/>
              </w:rPr>
              <w:t>id</w:t>
            </w:r>
          </w:p>
        </w:tc>
        <w:tc>
          <w:tcPr>
            <w:tcW w:type="dxa" w:w="3120"/>
            <w:shd w:fill="FFFFFF"/>
            <w:tcMar>
              <w:top w:w="60" w:type="dxa"/>
              <w:bottom w:w="60" w:type="dxa"/>
              <w:left w:w="100" w:type="dxa"/>
              <w:right w:w="100" w:type="dxa"/>
            </w:tcMar>
          </w:tcPr>
          <w:p>
            <w:r>
              <w:rPr>
                <w:color w:val="1E293B"/>
                <w:sz w:val="17"/>
              </w:rPr>
              <w:t>VARCHAR(64) PRIMARY KEY</w:t>
            </w:r>
          </w:p>
        </w:tc>
        <w:tc>
          <w:tcPr>
            <w:tcW w:type="dxa" w:w="3120"/>
            <w:shd w:fill="FFFFFF"/>
            <w:tcMar>
              <w:top w:w="60" w:type="dxa"/>
              <w:bottom w:w="60" w:type="dxa"/>
              <w:left w:w="100" w:type="dxa"/>
              <w:right w:w="100" w:type="dxa"/>
            </w:tcMar>
          </w:tcPr>
          <w:p>
            <w:r>
              <w:rPr>
                <w:color w:val="1E293B"/>
                <w:sz w:val="17"/>
              </w:rPr>
              <w:t>Unique identifier for the schedule configuration (e.g. SCH_xxx).</w:t>
            </w:r>
          </w:p>
        </w:tc>
      </w:tr>
      <w:tr>
        <w:tc>
          <w:tcPr>
            <w:tcW w:type="dxa" w:w="3120"/>
            <w:shd w:fill="F8FAFC"/>
            <w:tcMar>
              <w:top w:w="60" w:type="dxa"/>
              <w:bottom w:w="60" w:type="dxa"/>
              <w:left w:w="100" w:type="dxa"/>
              <w:right w:w="100" w:type="dxa"/>
            </w:tcMar>
          </w:tcPr>
          <w:p>
            <w:r>
              <w:rPr>
                <w:color w:val="1E293B"/>
                <w:sz w:val="17"/>
              </w:rPr>
              <w:t>project_id</w:t>
            </w:r>
          </w:p>
        </w:tc>
        <w:tc>
          <w:tcPr>
            <w:tcW w:type="dxa" w:w="3120"/>
            <w:shd w:fill="F8FAFC"/>
            <w:tcMar>
              <w:top w:w="60" w:type="dxa"/>
              <w:bottom w:w="60" w:type="dxa"/>
              <w:left w:w="100" w:type="dxa"/>
              <w:right w:w="100" w:type="dxa"/>
            </w:tcMar>
          </w:tcPr>
          <w:p>
            <w:r>
              <w:rPr>
                <w:color w:val="1E293B"/>
                <w:sz w:val="17"/>
              </w:rPr>
              <w:t>VARCHAR(64) INDEX</w:t>
            </w:r>
          </w:p>
        </w:tc>
        <w:tc>
          <w:tcPr>
            <w:tcW w:type="dxa" w:w="3120"/>
            <w:shd w:fill="F8FAFC"/>
            <w:tcMar>
              <w:top w:w="60" w:type="dxa"/>
              <w:bottom w:w="60" w:type="dxa"/>
              <w:left w:w="100" w:type="dxa"/>
              <w:right w:w="100" w:type="dxa"/>
            </w:tcMar>
          </w:tcPr>
          <w:p>
            <w:r>
              <w:rPr>
                <w:color w:val="1E293B"/>
                <w:sz w:val="17"/>
              </w:rPr>
              <w:t>Foreign reference to the active migration project.</w:t>
            </w:r>
          </w:p>
        </w:tc>
      </w:tr>
      <w:tr>
        <w:tc>
          <w:tcPr>
            <w:tcW w:type="dxa" w:w="3120"/>
            <w:shd w:fill="FFFFFF"/>
            <w:tcMar>
              <w:top w:w="60" w:type="dxa"/>
              <w:bottom w:w="60" w:type="dxa"/>
              <w:left w:w="100" w:type="dxa"/>
              <w:right w:w="100" w:type="dxa"/>
            </w:tcMar>
          </w:tcPr>
          <w:p>
            <w:r>
              <w:rPr>
                <w:color w:val="1E293B"/>
                <w:sz w:val="17"/>
              </w:rPr>
              <w:t>frequency</w:t>
            </w:r>
          </w:p>
        </w:tc>
        <w:tc>
          <w:tcPr>
            <w:tcW w:type="dxa" w:w="3120"/>
            <w:shd w:fill="FFFFFF"/>
            <w:tcMar>
              <w:top w:w="60" w:type="dxa"/>
              <w:bottom w:w="60" w:type="dxa"/>
              <w:left w:w="100" w:type="dxa"/>
              <w:right w:w="100" w:type="dxa"/>
            </w:tcMar>
          </w:tcPr>
          <w:p>
            <w:r>
              <w:rPr>
                <w:color w:val="1E293B"/>
                <w:sz w:val="17"/>
              </w:rPr>
              <w:t>VARCHAR(32)</w:t>
            </w:r>
          </w:p>
        </w:tc>
        <w:tc>
          <w:tcPr>
            <w:tcW w:type="dxa" w:w="3120"/>
            <w:shd w:fill="FFFFFF"/>
            <w:tcMar>
              <w:top w:w="60" w:type="dxa"/>
              <w:bottom w:w="60" w:type="dxa"/>
              <w:left w:w="100" w:type="dxa"/>
              <w:right w:w="100" w:type="dxa"/>
            </w:tcMar>
          </w:tcPr>
          <w:p>
            <w:r>
              <w:rPr>
                <w:color w:val="1E293B"/>
                <w:sz w:val="17"/>
              </w:rPr>
              <w:t>DAILY | HOURLY | WEEKLY | CRON (Default: DAILY).</w:t>
            </w:r>
          </w:p>
        </w:tc>
      </w:tr>
      <w:tr>
        <w:tc>
          <w:tcPr>
            <w:tcW w:type="dxa" w:w="3120"/>
            <w:shd w:fill="F8FAFC"/>
            <w:tcMar>
              <w:top w:w="60" w:type="dxa"/>
              <w:bottom w:w="60" w:type="dxa"/>
              <w:left w:w="100" w:type="dxa"/>
              <w:right w:w="100" w:type="dxa"/>
            </w:tcMar>
          </w:tcPr>
          <w:p>
            <w:r>
              <w:rPr>
                <w:color w:val="1E293B"/>
                <w:sz w:val="17"/>
              </w:rPr>
              <w:t>scheduled_time</w:t>
            </w:r>
          </w:p>
        </w:tc>
        <w:tc>
          <w:tcPr>
            <w:tcW w:type="dxa" w:w="3120"/>
            <w:shd w:fill="F8FAFC"/>
            <w:tcMar>
              <w:top w:w="60" w:type="dxa"/>
              <w:bottom w:w="60" w:type="dxa"/>
              <w:left w:w="100" w:type="dxa"/>
              <w:right w:w="100" w:type="dxa"/>
            </w:tcMar>
          </w:tcPr>
          <w:p>
            <w:r>
              <w:rPr>
                <w:color w:val="1E293B"/>
                <w:sz w:val="17"/>
              </w:rPr>
              <w:t>VARCHAR(16)</w:t>
            </w:r>
          </w:p>
        </w:tc>
        <w:tc>
          <w:tcPr>
            <w:tcW w:type="dxa" w:w="3120"/>
            <w:shd w:fill="F8FAFC"/>
            <w:tcMar>
              <w:top w:w="60" w:type="dxa"/>
              <w:bottom w:w="60" w:type="dxa"/>
              <w:left w:w="100" w:type="dxa"/>
              <w:right w:w="100" w:type="dxa"/>
            </w:tcMar>
          </w:tcPr>
          <w:p>
            <w:r>
              <w:rPr>
                <w:color w:val="1E293B"/>
                <w:sz w:val="17"/>
              </w:rPr>
              <w:t>Configured execution time in HH:MM format (24-hour UTC or local, e.g. 02:00).</w:t>
            </w:r>
          </w:p>
        </w:tc>
      </w:tr>
      <w:tr>
        <w:tc>
          <w:tcPr>
            <w:tcW w:type="dxa" w:w="3120"/>
            <w:shd w:fill="FFFFFF"/>
            <w:tcMar>
              <w:top w:w="60" w:type="dxa"/>
              <w:bottom w:w="60" w:type="dxa"/>
              <w:left w:w="100" w:type="dxa"/>
              <w:right w:w="100" w:type="dxa"/>
            </w:tcMar>
          </w:tcPr>
          <w:p>
            <w:r>
              <w:rPr>
                <w:color w:val="1E293B"/>
                <w:sz w:val="17"/>
              </w:rPr>
              <w:t>is_enabled</w:t>
            </w:r>
          </w:p>
        </w:tc>
        <w:tc>
          <w:tcPr>
            <w:tcW w:type="dxa" w:w="3120"/>
            <w:shd w:fill="FFFFFF"/>
            <w:tcMar>
              <w:top w:w="60" w:type="dxa"/>
              <w:bottom w:w="60" w:type="dxa"/>
              <w:left w:w="100" w:type="dxa"/>
              <w:right w:w="100" w:type="dxa"/>
            </w:tcMar>
          </w:tcPr>
          <w:p>
            <w:r>
              <w:rPr>
                <w:color w:val="1E293B"/>
                <w:sz w:val="17"/>
              </w:rPr>
              <w:t>BOOLEAN</w:t>
            </w:r>
          </w:p>
        </w:tc>
        <w:tc>
          <w:tcPr>
            <w:tcW w:type="dxa" w:w="3120"/>
            <w:shd w:fill="FFFFFF"/>
            <w:tcMar>
              <w:top w:w="60" w:type="dxa"/>
              <w:bottom w:w="60" w:type="dxa"/>
              <w:left w:w="100" w:type="dxa"/>
              <w:right w:w="100" w:type="dxa"/>
            </w:tcMar>
          </w:tcPr>
          <w:p>
            <w:r>
              <w:rPr>
                <w:color w:val="1E293B"/>
                <w:sz w:val="17"/>
              </w:rPr>
              <w:t>Master switch indicating whether background runner should trigger.</w:t>
            </w:r>
          </w:p>
        </w:tc>
      </w:tr>
      <w:tr>
        <w:tc>
          <w:tcPr>
            <w:tcW w:type="dxa" w:w="3120"/>
            <w:shd w:fill="F8FAFC"/>
            <w:tcMar>
              <w:top w:w="60" w:type="dxa"/>
              <w:bottom w:w="60" w:type="dxa"/>
              <w:left w:w="100" w:type="dxa"/>
              <w:right w:w="100" w:type="dxa"/>
            </w:tcMar>
          </w:tcPr>
          <w:p>
            <w:r>
              <w:rPr>
                <w:color w:val="1E293B"/>
                <w:sz w:val="17"/>
              </w:rPr>
              <w:t>notification_email</w:t>
            </w:r>
          </w:p>
        </w:tc>
        <w:tc>
          <w:tcPr>
            <w:tcW w:type="dxa" w:w="3120"/>
            <w:shd w:fill="F8FAFC"/>
            <w:tcMar>
              <w:top w:w="60" w:type="dxa"/>
              <w:bottom w:w="60" w:type="dxa"/>
              <w:left w:w="100" w:type="dxa"/>
              <w:right w:w="100" w:type="dxa"/>
            </w:tcMar>
          </w:tcPr>
          <w:p>
            <w:r>
              <w:rPr>
                <w:color w:val="1E293B"/>
                <w:sz w:val="17"/>
              </w:rPr>
              <w:t>VARCHAR(255)</w:t>
            </w:r>
          </w:p>
        </w:tc>
        <w:tc>
          <w:tcPr>
            <w:tcW w:type="dxa" w:w="3120"/>
            <w:shd w:fill="F8FAFC"/>
            <w:tcMar>
              <w:top w:w="60" w:type="dxa"/>
              <w:bottom w:w="60" w:type="dxa"/>
              <w:left w:w="100" w:type="dxa"/>
              <w:right w:w="100" w:type="dxa"/>
            </w:tcMar>
          </w:tcPr>
          <w:p>
            <w:r>
              <w:rPr>
                <w:color w:val="1E293B"/>
                <w:sz w:val="17"/>
              </w:rPr>
              <w:t>Destination email address for Brevo run summaries.</w:t>
            </w:r>
          </w:p>
        </w:tc>
      </w:tr>
      <w:tr>
        <w:tc>
          <w:tcPr>
            <w:tcW w:type="dxa" w:w="3120"/>
            <w:shd w:fill="FFFFFF"/>
            <w:tcMar>
              <w:top w:w="60" w:type="dxa"/>
              <w:bottom w:w="60" w:type="dxa"/>
              <w:left w:w="100" w:type="dxa"/>
              <w:right w:w="100" w:type="dxa"/>
            </w:tcMar>
          </w:tcPr>
          <w:p>
            <w:r>
              <w:rPr>
                <w:color w:val="1E293B"/>
                <w:sz w:val="17"/>
              </w:rPr>
              <w:t>last_run_at / next_run_at</w:t>
            </w:r>
          </w:p>
        </w:tc>
        <w:tc>
          <w:tcPr>
            <w:tcW w:type="dxa" w:w="3120"/>
            <w:shd w:fill="FFFFFF"/>
            <w:tcMar>
              <w:top w:w="60" w:type="dxa"/>
              <w:bottom w:w="60" w:type="dxa"/>
              <w:left w:w="100" w:type="dxa"/>
              <w:right w:w="100" w:type="dxa"/>
            </w:tcMar>
          </w:tcPr>
          <w:p>
            <w:r>
              <w:rPr>
                <w:color w:val="1E293B"/>
                <w:sz w:val="17"/>
              </w:rPr>
              <w:t>TIMESTAMP</w:t>
            </w:r>
          </w:p>
        </w:tc>
        <w:tc>
          <w:tcPr>
            <w:tcW w:type="dxa" w:w="3120"/>
            <w:shd w:fill="FFFFFF"/>
            <w:tcMar>
              <w:top w:w="60" w:type="dxa"/>
              <w:bottom w:w="60" w:type="dxa"/>
              <w:left w:w="100" w:type="dxa"/>
              <w:right w:w="100" w:type="dxa"/>
            </w:tcMar>
          </w:tcPr>
          <w:p>
            <w:r>
              <w:rPr>
                <w:color w:val="1E293B"/>
                <w:sz w:val="17"/>
              </w:rPr>
              <w:t>Timestamps tracking the last completed execution and calculated next trigger time.</w:t>
            </w:r>
          </w:p>
        </w:tc>
      </w:tr>
    </w:tbl>
    <w:p>
      <w:pPr>
        <w:spacing w:after="120"/>
      </w:pPr>
    </w:p>
    <w:p>
      <w:pPr>
        <w:keepNext/>
        <w:spacing w:before="240" w:after="120"/>
      </w:pPr>
      <w:r>
        <w:rPr>
          <w:rFonts w:ascii="Segoe UI" w:hAnsi="Segoe UI"/>
          <w:b/>
          <w:color w:val="2563EB"/>
          <w:sz w:val="24"/>
        </w:rPr>
        <w:t>Table 2: migration_watermark (Incremental Tracking Ledger)</w:t>
      </w:r>
    </w:p>
    <w:p>
      <w:pPr>
        <w:spacing w:after="80"/>
      </w:pPr>
      <w:r>
        <w:t>Tracks the highest migrated timestamp or primary key value for every individual source table to bound incremental extracts.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8"/>
              </w:rPr>
              <w:t>Column Name</w:t>
            </w:r>
          </w:p>
        </w:tc>
        <w:tc>
          <w:tcPr>
            <w:tcW w:type="dxa" w:w="3120"/>
            <w:shd w:fill="1E293B"/>
          </w:tcPr>
          <w:p>
            <w:r>
              <w:rPr>
                <w:b/>
                <w:color w:val="FFFFFF"/>
                <w:sz w:val="18"/>
              </w:rPr>
              <w:t>Data Type</w:t>
            </w:r>
          </w:p>
        </w:tc>
        <w:tc>
          <w:tcPr>
            <w:tcW w:type="dxa" w:w="3120"/>
            <w:shd w:fill="1E293B"/>
          </w:tcPr>
          <w:p>
            <w:r>
              <w:rPr>
                <w:b/>
                <w:color w:val="FFFFFF"/>
                <w:sz w:val="18"/>
              </w:rPr>
              <w:t>Description &amp; Constraints</w:t>
            </w:r>
          </w:p>
        </w:tc>
      </w:tr>
      <w:tr>
        <w:tc>
          <w:tcPr>
            <w:tcW w:type="dxa" w:w="3120"/>
            <w:shd w:fill="FFFFFF"/>
            <w:tcMar>
              <w:top w:w="60" w:type="dxa"/>
              <w:bottom w:w="60" w:type="dxa"/>
              <w:left w:w="100" w:type="dxa"/>
              <w:right w:w="100" w:type="dxa"/>
            </w:tcMar>
          </w:tcPr>
          <w:p>
            <w:r>
              <w:rPr>
                <w:color w:val="1E293B"/>
                <w:sz w:val="17"/>
              </w:rPr>
              <w:t>id</w:t>
            </w:r>
          </w:p>
        </w:tc>
        <w:tc>
          <w:tcPr>
            <w:tcW w:type="dxa" w:w="3120"/>
            <w:shd w:fill="FFFFFF"/>
            <w:tcMar>
              <w:top w:w="60" w:type="dxa"/>
              <w:bottom w:w="60" w:type="dxa"/>
              <w:left w:w="100" w:type="dxa"/>
              <w:right w:w="100" w:type="dxa"/>
            </w:tcMar>
          </w:tcPr>
          <w:p>
            <w:r>
              <w:rPr>
                <w:color w:val="1E293B"/>
                <w:sz w:val="17"/>
              </w:rPr>
              <w:t>VARCHAR(64) PRIMARY KEY</w:t>
            </w:r>
          </w:p>
        </w:tc>
        <w:tc>
          <w:tcPr>
            <w:tcW w:type="dxa" w:w="3120"/>
            <w:shd w:fill="FFFFFF"/>
            <w:tcMar>
              <w:top w:w="60" w:type="dxa"/>
              <w:bottom w:w="60" w:type="dxa"/>
              <w:left w:w="100" w:type="dxa"/>
              <w:right w:w="100" w:type="dxa"/>
            </w:tcMar>
          </w:tcPr>
          <w:p>
            <w:r>
              <w:rPr>
                <w:color w:val="1E293B"/>
                <w:sz w:val="17"/>
              </w:rPr>
              <w:t>Unique identifier (WM_xxx).</w:t>
            </w:r>
          </w:p>
        </w:tc>
      </w:tr>
      <w:tr>
        <w:tc>
          <w:tcPr>
            <w:tcW w:type="dxa" w:w="3120"/>
            <w:shd w:fill="F8FAFC"/>
            <w:tcMar>
              <w:top w:w="60" w:type="dxa"/>
              <w:bottom w:w="60" w:type="dxa"/>
              <w:left w:w="100" w:type="dxa"/>
              <w:right w:w="100" w:type="dxa"/>
            </w:tcMar>
          </w:tcPr>
          <w:p>
            <w:r>
              <w:rPr>
                <w:color w:val="1E293B"/>
                <w:sz w:val="17"/>
              </w:rPr>
              <w:t>project_id</w:t>
            </w:r>
          </w:p>
        </w:tc>
        <w:tc>
          <w:tcPr>
            <w:tcW w:type="dxa" w:w="3120"/>
            <w:shd w:fill="F8FAFC"/>
            <w:tcMar>
              <w:top w:w="60" w:type="dxa"/>
              <w:bottom w:w="60" w:type="dxa"/>
              <w:left w:w="100" w:type="dxa"/>
              <w:right w:w="100" w:type="dxa"/>
            </w:tcMar>
          </w:tcPr>
          <w:p>
            <w:r>
              <w:rPr>
                <w:color w:val="1E293B"/>
                <w:sz w:val="17"/>
              </w:rPr>
              <w:t>VARCHAR(64) INDEX</w:t>
            </w:r>
          </w:p>
        </w:tc>
        <w:tc>
          <w:tcPr>
            <w:tcW w:type="dxa" w:w="3120"/>
            <w:shd w:fill="F8FAFC"/>
            <w:tcMar>
              <w:top w:w="60" w:type="dxa"/>
              <w:bottom w:w="60" w:type="dxa"/>
              <w:left w:w="100" w:type="dxa"/>
              <w:right w:w="100" w:type="dxa"/>
            </w:tcMar>
          </w:tcPr>
          <w:p>
            <w:r>
              <w:rPr>
                <w:color w:val="1E293B"/>
                <w:sz w:val="17"/>
              </w:rPr>
              <w:t>Associated migration project ID.</w:t>
            </w:r>
          </w:p>
        </w:tc>
      </w:tr>
      <w:tr>
        <w:tc>
          <w:tcPr>
            <w:tcW w:type="dxa" w:w="3120"/>
            <w:shd w:fill="FFFFFF"/>
            <w:tcMar>
              <w:top w:w="60" w:type="dxa"/>
              <w:bottom w:w="60" w:type="dxa"/>
              <w:left w:w="100" w:type="dxa"/>
              <w:right w:w="100" w:type="dxa"/>
            </w:tcMar>
          </w:tcPr>
          <w:p>
            <w:r>
              <w:rPr>
                <w:color w:val="1E293B"/>
                <w:sz w:val="17"/>
              </w:rPr>
              <w:t>table_name</w:t>
            </w:r>
          </w:p>
        </w:tc>
        <w:tc>
          <w:tcPr>
            <w:tcW w:type="dxa" w:w="3120"/>
            <w:shd w:fill="FFFFFF"/>
            <w:tcMar>
              <w:top w:w="60" w:type="dxa"/>
              <w:bottom w:w="60" w:type="dxa"/>
              <w:left w:w="100" w:type="dxa"/>
              <w:right w:w="100" w:type="dxa"/>
            </w:tcMar>
          </w:tcPr>
          <w:p>
            <w:r>
              <w:rPr>
                <w:color w:val="1E293B"/>
                <w:sz w:val="17"/>
              </w:rPr>
              <w:t>VARCHAR(255)</w:t>
            </w:r>
          </w:p>
        </w:tc>
        <w:tc>
          <w:tcPr>
            <w:tcW w:type="dxa" w:w="3120"/>
            <w:shd w:fill="FFFFFF"/>
            <w:tcMar>
              <w:top w:w="60" w:type="dxa"/>
              <w:bottom w:w="60" w:type="dxa"/>
              <w:left w:w="100" w:type="dxa"/>
              <w:right w:w="100" w:type="dxa"/>
            </w:tcMar>
          </w:tcPr>
          <w:p>
            <w:r>
              <w:rPr>
                <w:color w:val="1E293B"/>
                <w:sz w:val="17"/>
              </w:rPr>
              <w:t>Full source table name (e.g. dbo.CustomerSales).</w:t>
            </w:r>
          </w:p>
        </w:tc>
      </w:tr>
      <w:tr>
        <w:tc>
          <w:tcPr>
            <w:tcW w:type="dxa" w:w="3120"/>
            <w:shd w:fill="F8FAFC"/>
            <w:tcMar>
              <w:top w:w="60" w:type="dxa"/>
              <w:bottom w:w="60" w:type="dxa"/>
              <w:left w:w="100" w:type="dxa"/>
              <w:right w:w="100" w:type="dxa"/>
            </w:tcMar>
          </w:tcPr>
          <w:p>
            <w:r>
              <w:rPr>
                <w:color w:val="1E293B"/>
                <w:sz w:val="17"/>
              </w:rPr>
              <w:t>watermark_column</w:t>
            </w:r>
          </w:p>
        </w:tc>
        <w:tc>
          <w:tcPr>
            <w:tcW w:type="dxa" w:w="3120"/>
            <w:shd w:fill="F8FAFC"/>
            <w:tcMar>
              <w:top w:w="60" w:type="dxa"/>
              <w:bottom w:w="60" w:type="dxa"/>
              <w:left w:w="100" w:type="dxa"/>
              <w:right w:w="100" w:type="dxa"/>
            </w:tcMar>
          </w:tcPr>
          <w:p>
            <w:r>
              <w:rPr>
                <w:color w:val="1E293B"/>
                <w:sz w:val="17"/>
              </w:rPr>
              <w:t>VARCHAR(128)</w:t>
            </w:r>
          </w:p>
        </w:tc>
        <w:tc>
          <w:tcPr>
            <w:tcW w:type="dxa" w:w="3120"/>
            <w:shd w:fill="F8FAFC"/>
            <w:tcMar>
              <w:top w:w="60" w:type="dxa"/>
              <w:bottom w:w="60" w:type="dxa"/>
              <w:left w:w="100" w:type="dxa"/>
              <w:right w:w="100" w:type="dxa"/>
            </w:tcMar>
          </w:tcPr>
          <w:p>
            <w:r>
              <w:rPr>
                <w:color w:val="1E293B"/>
                <w:sz w:val="17"/>
              </w:rPr>
              <w:t>Identified incremental column (e.g. LastModifiedDate, CreatedDate, SaleID).</w:t>
            </w:r>
          </w:p>
        </w:tc>
      </w:tr>
      <w:tr>
        <w:tc>
          <w:tcPr>
            <w:tcW w:type="dxa" w:w="3120"/>
            <w:shd w:fill="FFFFFF"/>
            <w:tcMar>
              <w:top w:w="60" w:type="dxa"/>
              <w:bottom w:w="60" w:type="dxa"/>
              <w:left w:w="100" w:type="dxa"/>
              <w:right w:w="100" w:type="dxa"/>
            </w:tcMar>
          </w:tcPr>
          <w:p>
            <w:r>
              <w:rPr>
                <w:color w:val="1E293B"/>
                <w:sz w:val="17"/>
              </w:rPr>
              <w:t>watermark_type</w:t>
            </w:r>
          </w:p>
        </w:tc>
        <w:tc>
          <w:tcPr>
            <w:tcW w:type="dxa" w:w="3120"/>
            <w:shd w:fill="FFFFFF"/>
            <w:tcMar>
              <w:top w:w="60" w:type="dxa"/>
              <w:bottom w:w="60" w:type="dxa"/>
              <w:left w:w="100" w:type="dxa"/>
              <w:right w:w="100" w:type="dxa"/>
            </w:tcMar>
          </w:tcPr>
          <w:p>
            <w:r>
              <w:rPr>
                <w:color w:val="1E293B"/>
                <w:sz w:val="17"/>
              </w:rPr>
              <w:t>VARCHAR(32)</w:t>
            </w:r>
          </w:p>
        </w:tc>
        <w:tc>
          <w:tcPr>
            <w:tcW w:type="dxa" w:w="3120"/>
            <w:shd w:fill="FFFFFF"/>
            <w:tcMar>
              <w:top w:w="60" w:type="dxa"/>
              <w:bottom w:w="60" w:type="dxa"/>
              <w:left w:w="100" w:type="dxa"/>
              <w:right w:w="100" w:type="dxa"/>
            </w:tcMar>
          </w:tcPr>
          <w:p>
            <w:r>
              <w:rPr>
                <w:color w:val="1E293B"/>
                <w:sz w:val="17"/>
              </w:rPr>
              <w:t>TIMESTAMP | INTEGER_KEY | DATE.</w:t>
            </w:r>
          </w:p>
        </w:tc>
      </w:tr>
      <w:tr>
        <w:tc>
          <w:tcPr>
            <w:tcW w:type="dxa" w:w="3120"/>
            <w:shd w:fill="F8FAFC"/>
            <w:tcMar>
              <w:top w:w="60" w:type="dxa"/>
              <w:bottom w:w="60" w:type="dxa"/>
              <w:left w:w="100" w:type="dxa"/>
              <w:right w:w="100" w:type="dxa"/>
            </w:tcMar>
          </w:tcPr>
          <w:p>
            <w:r>
              <w:rPr>
                <w:color w:val="1E293B"/>
                <w:sz w:val="17"/>
              </w:rPr>
              <w:t>last_watermark_value</w:t>
            </w:r>
          </w:p>
        </w:tc>
        <w:tc>
          <w:tcPr>
            <w:tcW w:type="dxa" w:w="3120"/>
            <w:shd w:fill="F8FAFC"/>
            <w:tcMar>
              <w:top w:w="60" w:type="dxa"/>
              <w:bottom w:w="60" w:type="dxa"/>
              <w:left w:w="100" w:type="dxa"/>
              <w:right w:w="100" w:type="dxa"/>
            </w:tcMar>
          </w:tcPr>
          <w:p>
            <w:r>
              <w:rPr>
                <w:color w:val="1E293B"/>
                <w:sz w:val="17"/>
              </w:rPr>
              <w:t>TEXT</w:t>
            </w:r>
          </w:p>
        </w:tc>
        <w:tc>
          <w:tcPr>
            <w:tcW w:type="dxa" w:w="3120"/>
            <w:shd w:fill="F8FAFC"/>
            <w:tcMar>
              <w:top w:w="60" w:type="dxa"/>
              <w:bottom w:w="60" w:type="dxa"/>
              <w:left w:w="100" w:type="dxa"/>
              <w:right w:w="100" w:type="dxa"/>
            </w:tcMar>
          </w:tcPr>
          <w:p>
            <w:r>
              <w:rPr>
                <w:color w:val="1E293B"/>
                <w:sz w:val="17"/>
              </w:rPr>
              <w:t>Stringified value of the highest migrated record (e.g. '2026-10-13 14:00:00').</w:t>
            </w:r>
          </w:p>
        </w:tc>
      </w:tr>
    </w:tbl>
    <w:p>
      <w:pPr>
        <w:spacing w:after="160"/>
      </w:pPr>
    </w:p>
    <w:p>
      <w:pPr>
        <w:keepNext/>
        <w:spacing w:before="360" w:after="120"/>
      </w:pPr>
      <w:r>
        <w:rPr>
          <w:rFonts w:ascii="Segoe UI" w:hAnsi="Segoe UI"/>
          <w:b/>
          <w:color w:val="0F2942"/>
          <w:sz w:val="30"/>
        </w:rPr>
        <w:t>5. Codebase Modification Blueprint &amp; File Targets</w:t>
      </w:r>
    </w:p>
    <w:p>
      <w:pPr>
        <w:spacing w:after="120"/>
      </w:pPr>
      <w:r>
        <w:t>To preserve the existing Pass 1, Pass 2, and Pass 3 codebase integrity while cleanly adding this feature, the following files will be updated and created:</w:t>
      </w:r>
    </w:p>
    <w:p>
      <w:pPr>
        <w:spacing w:before="80" w:after="60"/>
      </w:pPr>
      <w:r>
        <w:rPr>
          <w:b/>
          <w:color w:val="2563EB"/>
        </w:rPr>
        <w:t>• backend/app/models/entities.py</w:t>
      </w:r>
    </w:p>
    <w:p>
      <w:pPr>
        <w:spacing w:after="120"/>
        <w:ind w:left="360"/>
      </w:pPr>
      <w:r>
        <w:rPr>
          <w:color w:val="1E293B"/>
          <w:sz w:val="19"/>
        </w:rPr>
        <w:t>Define SQLAlchemy models for MigrationSchedule and MigrationWatermark entities, establishing relations to MigrationProject.</w:t>
      </w:r>
    </w:p>
    <w:p>
      <w:pPr>
        <w:spacing w:before="80" w:after="60"/>
      </w:pPr>
      <w:r>
        <w:rPr>
          <w:b/>
          <w:color w:val="2563EB"/>
        </w:rPr>
        <w:t>• backend/app/services/watermark.py (NEW)</w:t>
      </w:r>
    </w:p>
    <w:p>
      <w:pPr>
        <w:spacing w:after="120"/>
        <w:ind w:left="360"/>
      </w:pPr>
      <w:r>
        <w:rPr>
          <w:color w:val="1E293B"/>
          <w:sz w:val="19"/>
        </w:rPr>
        <w:t>Implements heuristic detection of timestamp/identity columns during discovery (e.g., regex match on modified, created, date, id). Manages reading and updating watermark checkpoints.</w:t>
      </w:r>
    </w:p>
    <w:p>
      <w:pPr>
        <w:spacing w:before="80" w:after="60"/>
      </w:pPr>
      <w:r>
        <w:rPr>
          <w:b/>
          <w:color w:val="2563EB"/>
        </w:rPr>
        <w:t>• backend/app/services/bronze_ingestion.py</w:t>
      </w:r>
    </w:p>
    <w:p>
      <w:pPr>
        <w:spacing w:after="120"/>
        <w:ind w:left="360"/>
      </w:pPr>
      <w:r>
        <w:rPr>
          <w:color w:val="1E293B"/>
          <w:sz w:val="19"/>
        </w:rPr>
        <w:t>Implement load_mode='INCREMENTAL' logic. Constructs bounded SQL Server queries (WHERE col &gt; :watermark), stages records via Parquet/COPY INTO, and applies Databricks MERGE INTO target tables.</w:t>
      </w:r>
    </w:p>
    <w:p>
      <w:pPr>
        <w:spacing w:before="80" w:after="60"/>
      </w:pPr>
      <w:r>
        <w:rPr>
          <w:b/>
          <w:color w:val="2563EB"/>
        </w:rPr>
        <w:t>• backend/app/services/scheduler.py (NEW)</w:t>
      </w:r>
    </w:p>
    <w:p>
      <w:pPr>
        <w:spacing w:after="120"/>
        <w:ind w:left="360"/>
      </w:pPr>
      <w:r>
        <w:rPr>
          <w:color w:val="1E293B"/>
          <w:sz w:val="19"/>
        </w:rPr>
        <w:t>AsyncIO background worker initializing on FastAPI startup. Periodically polls migration_schedule, verifies run condition, executes incremental Bronze migration, triggers downstream view refresh, and updates next_run_at.</w:t>
      </w:r>
    </w:p>
    <w:p>
      <w:pPr>
        <w:spacing w:before="80" w:after="60"/>
      </w:pPr>
      <w:r>
        <w:rPr>
          <w:b/>
          <w:color w:val="2563EB"/>
        </w:rPr>
        <w:t>• backend/app/services/email_service.py</w:t>
      </w:r>
    </w:p>
    <w:p>
      <w:pPr>
        <w:spacing w:after="120"/>
        <w:ind w:left="360"/>
      </w:pPr>
      <w:r>
        <w:rPr>
          <w:color w:val="1E293B"/>
          <w:sz w:val="19"/>
        </w:rPr>
        <w:t>Add send_schedule_digest_email() function to format and dispatch execution metrics (new records migrated, latency, error status) to configured stakeholder emails via Brevo.</w:t>
      </w:r>
    </w:p>
    <w:p>
      <w:pPr>
        <w:spacing w:before="80" w:after="60"/>
      </w:pPr>
      <w:r>
        <w:rPr>
          <w:b/>
          <w:color w:val="2563EB"/>
        </w:rPr>
        <w:t>• backend/app/api/routes.py</w:t>
      </w:r>
    </w:p>
    <w:p>
      <w:pPr>
        <w:spacing w:after="120"/>
        <w:ind w:left="360"/>
      </w:pPr>
      <w:r>
        <w:rPr>
          <w:color w:val="1E293B"/>
          <w:sz w:val="19"/>
        </w:rPr>
        <w:t>Add endpoints: GET/PUT /projects/{id}/schedule, POST /projects/{id}/schedule/trigger-now, and GET /projects/{id}/schedule/history.</w:t>
      </w:r>
    </w:p>
    <w:p>
      <w:pPr>
        <w:spacing w:before="80" w:after="60"/>
      </w:pPr>
      <w:r>
        <w:rPr>
          <w:b/>
          <w:color w:val="2563EB"/>
        </w:rPr>
        <w:t>• frontend/src/App.tsx</w:t>
      </w:r>
    </w:p>
    <w:p>
      <w:pPr>
        <w:spacing w:after="120"/>
        <w:ind w:left="360"/>
      </w:pPr>
      <w:r>
        <w:rPr>
          <w:color w:val="1E293B"/>
          <w:sz w:val="19"/>
        </w:rPr>
        <w:t>Embed a modern, responsive 'Scheduled Refresh' card with toggle switch, time selector, countdown pill, and recent runs ledger inside Stage 3 and Deployment pages.</w:t>
      </w:r>
    </w:p>
    <w:p>
      <w:pPr>
        <w:keepNext/>
        <w:spacing w:before="360" w:after="120"/>
      </w:pPr>
      <w:r>
        <w:rPr>
          <w:rFonts w:ascii="Segoe UI" w:hAnsi="Segoe UI"/>
          <w:b/>
          <w:color w:val="0F2942"/>
          <w:sz w:val="30"/>
        </w:rPr>
        <w:t>6. Enterprise Safety, Resilience &amp; Rollback Guarantees</w:t>
      </w:r>
    </w:p>
    <w:p>
      <w:pPr>
        <w:pStyle w:val="ListBullet"/>
        <w:spacing w:after="80"/>
      </w:pPr>
      <w:r>
        <w:rPr>
          <w:b/>
          <w:color w:val="0F2942"/>
        </w:rPr>
        <w:t xml:space="preserve">No Impact on Initial Full Migration: </w:t>
      </w:r>
      <w:r>
        <w:t>The scheduled runner activates strictly after an initial Full Ingestion is marked as PASSED. It never overrides or corrupts baseline bronze delta tables.</w:t>
      </w:r>
    </w:p>
    <w:p>
      <w:pPr>
        <w:pStyle w:val="ListBullet"/>
        <w:spacing w:after="80"/>
      </w:pPr>
      <w:r>
        <w:rPr>
          <w:b/>
          <w:color w:val="0F2942"/>
        </w:rPr>
        <w:t xml:space="preserve">Idempotent Delta Lake MERGE: </w:t>
      </w:r>
      <w:r>
        <w:t>Even if a scheduled job triggers twice due to network retries, Delta Lake MERGE INTO guarantees that identical records are simply matched and deduplicated without inflating row counts.</w:t>
      </w:r>
    </w:p>
    <w:p>
      <w:pPr>
        <w:pStyle w:val="ListBullet"/>
        <w:spacing w:after="80"/>
      </w:pPr>
      <w:r>
        <w:rPr>
          <w:b/>
          <w:color w:val="0F2942"/>
        </w:rPr>
        <w:t xml:space="preserve">Watermark Rollback on Failure: </w:t>
      </w:r>
      <w:r>
        <w:t>If extraction or Databricks publication fails mid-flight, the watermark checkpoint is NOT advanced. The previous valid watermark remains active, ensuring zero data loss on subsequent retry.</w:t>
      </w:r>
    </w:p>
    <w:p>
      <w:pPr>
        <w:pStyle w:val="ListBullet"/>
        <w:spacing w:after="80"/>
      </w:pPr>
      <w:r>
        <w:rPr>
          <w:b/>
          <w:color w:val="0F2942"/>
        </w:rPr>
        <w:t xml:space="preserve">Non-blocking Background Threading: </w:t>
      </w:r>
      <w:r>
        <w:t>The scheduler runs on a dedicated async background loop, completely isolated from user-facing REST API requests and UI interactions.</w:t>
      </w:r>
    </w:p>
    <w:p>
      <w:pPr>
        <w:pStyle w:val="ListBullet"/>
        <w:spacing w:after="80"/>
      </w:pPr>
      <w:r>
        <w:rPr>
          <w:b/>
          <w:color w:val="0F2942"/>
        </w:rPr>
        <w:t xml:space="preserve">Token &amp; Secret Redaction: </w:t>
      </w:r>
      <w:r>
        <w:t>Brevo email notifications and execution logs strictly mask database credentials, passwords, and API keys.</w:t>
      </w:r>
    </w:p>
    <w:p>
      <w:pPr>
        <w:keepNext/>
        <w:spacing w:before="360" w:after="120"/>
      </w:pPr>
      <w:r>
        <w:rPr>
          <w:rFonts w:ascii="Segoe UI" w:hAnsi="Segoe UI"/>
          <w:b/>
          <w:color w:val="0F2942"/>
          <w:sz w:val="30"/>
        </w:rPr>
        <w:t>7. Conclusion &amp; Next Steps</w:t>
      </w:r>
    </w:p>
    <w:p>
      <w:pPr>
        <w:spacing w:after="160"/>
      </w:pPr>
      <w:r>
        <w:t>By aligning with the proven Power BI Incremental Refresh standard, Migration AI Studio achieves true automated continuous synchronization. SQL Server operational changes seamlessly propagate to Databricks Delta Lake daily with sub-minute execution times and minimal compute resource consumption.</w:t>
        <w:br/>
        <w:br/>
        <w:t>This specification is ready for phased implementation upon stakeholder sign-off.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