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Enterprise Scope &amp; Compliance Documentation</w:t>
      </w:r>
    </w:p>
    <w:p>
      <w:pPr>
        <w:spacing w:after="280"/>
      </w:pPr>
      <w:r>
        <w:rPr>
          <w:rFonts w:ascii="Calibri" w:hAnsi="Calibri"/>
          <w:b/>
          <w:color w:val="0D9488"/>
          <w:sz w:val="28"/>
        </w:rPr>
        <w:t>SQL Server to Databricks AI Migration Factory (v2.4.1)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Document Type:</w:t>
            </w:r>
          </w:p>
        </w:tc>
        <w:tc>
          <w:tcPr>
            <w:tcW w:type="dxa" w:w="74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Scope Classification &amp; Enterprise Readiness Audit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Target Platform:</w:t>
            </w:r>
          </w:p>
        </w:tc>
        <w:tc>
          <w:tcPr>
            <w:tcW w:type="dxa" w:w="74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Databricks Unity Catalog (Medallion: Bronze, Silver, Gold)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Primary Function:</w:t>
            </w:r>
          </w:p>
        </w:tc>
        <w:tc>
          <w:tcPr>
            <w:tcW w:type="dxa" w:w="74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Automated Database Schema, Data, and Pipeline Conversion &amp; Migration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Audit Date:</w:t>
            </w:r>
          </w:p>
        </w:tc>
        <w:tc>
          <w:tcPr>
            <w:tcW w:type="dxa" w:w="74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September 29, 2026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A365D"/>
          <w:sz w:val="30"/>
        </w:rPr>
        <w:t>1. Executive Summary &amp; Application Context</w:t>
      </w:r>
    </w:p>
    <w:p>
      <w:pPr>
        <w:spacing w:after="120"/>
      </w:pPr>
      <w:r>
        <w:t>The SQL Server to Databricks AI Migration Factory is purpose-built as an enterprise Data Conversion and Migration Engine. Its sole objective is to discover, extract, transform, compile, deploy, and reconcile database assets from on-premises SQL Server instances into Databricks Unity Catalog across the Medallion Architecture (Bronze, Silver, Gold).</w:t>
        <w:br/>
        <w:br/>
        <w:t>Because this application operates as a dedicated Data Migration and Conversion Utility (rather than a public consumer-facing or multi-tenant SaaS social portal), its enterprise scope is strictly tailored to data reliability, schema integrity, multi-environment gatekeeping, and reconciliation accuracy. Consumer-oriented features such as self-service password reset, public user registration, and corporate Single Sign-On (SSO) are officially classified as OUT-OF-SCOPE.</w:t>
      </w:r>
    </w:p>
    <w:p>
      <w:pPr>
        <w:spacing w:before="240" w:after="80"/>
      </w:pPr>
      <w:r>
        <w:rPr>
          <w:b/>
          <w:color w:val="1A365D"/>
          <w:sz w:val="30"/>
        </w:rPr>
        <w:t>2. Scope Classification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0"/>
            </w:pPr>
            <w:r>
              <w:rPr>
                <w:b/>
                <w:color w:val="FFFFFF"/>
              </w:rPr>
              <w:t>Description / Included Items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Fully Implemented (In-Scope)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14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Core 9-stage migration workflow, schema compilation, target catalog isolation, secret masking, audit trails, live terminal, and high performance.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Out-of-Scope (Not Needed)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5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Consumer user login/password reset, admin portal, granular RBAC matrix, corporate SSO (SAML/Azure AD), and public WCAG screen-reader certification.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Roadmap Enhancements (In-Scope)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2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9"/>
              </w:rPr>
              <w:t>Automated periodic database snapshot daemon, standalone downloadable operations PDF runbook.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A365D"/>
          <w:sz w:val="30"/>
        </w:rPr>
        <w:t>3. Section I: What We Have Implemented (100% Functional)</w:t>
      </w:r>
    </w:p>
    <w:p>
      <w:pPr>
        <w:spacing w:before="80" w:after="40"/>
      </w:pPr>
      <w:r>
        <w:rPr>
          <w:b/>
          <w:color w:val="166534"/>
        </w:rPr>
        <w:t xml:space="preserve">✓ 1. Business Purpose &amp; Problem Solution: </w:t>
      </w:r>
      <w:r>
        <w:rPr>
          <w:color w:val="334155"/>
          <w:sz w:val="20"/>
        </w:rPr>
        <w:t>End-to-end migration of legacy Microsoft SQL Server schemas, tables, views, stored procedures, and data pipelines into Databricks Unity Catalog across Bronze, Silver, and Gold medallion tiers.</w:t>
      </w:r>
    </w:p>
    <w:p>
      <w:pPr>
        <w:spacing w:before="80" w:after="40"/>
      </w:pPr>
      <w:r>
        <w:rPr>
          <w:b/>
          <w:color w:val="166534"/>
        </w:rPr>
        <w:t xml:space="preserve">✓ 2. Core 9-Stage Conversion Workflow: </w:t>
      </w:r>
      <w:r>
        <w:rPr>
          <w:color w:val="334155"/>
          <w:sz w:val="20"/>
        </w:rPr>
        <w:t>Sequential 9-stage pipeline: Projects -&gt; Setup -&gt; Sources -&gt; Discovery -&gt; Inventory -&gt; Classification -&gt; Studio -&gt; Deployments -&gt; Waves &amp; Cutover, complete with retry and validation gates.</w:t>
      </w:r>
    </w:p>
    <w:p>
      <w:pPr>
        <w:spacing w:before="80" w:after="40"/>
      </w:pPr>
      <w:r>
        <w:rPr>
          <w:b/>
          <w:color w:val="166534"/>
        </w:rPr>
        <w:t xml:space="preserve">✓ 3. Modern User Interface &amp; Navigation (UI/UX): </w:t>
      </w:r>
      <w:r>
        <w:rPr>
          <w:color w:val="334155"/>
          <w:sz w:val="20"/>
        </w:rPr>
        <w:t>2-Tier Header architecture featuring a slim 52px enterprise bar, dedicated full-width Workspace Phase Stepper, sticky action rail, and slide-over code inspection drawer.</w:t>
      </w:r>
    </w:p>
    <w:p>
      <w:pPr>
        <w:spacing w:before="80" w:after="40"/>
      </w:pPr>
      <w:r>
        <w:rPr>
          <w:b/>
          <w:color w:val="166534"/>
        </w:rPr>
        <w:t xml:space="preserve">✓ 4. Client &amp; Project Data Isolation: </w:t>
      </w:r>
      <w:r>
        <w:rPr>
          <w:color w:val="334155"/>
          <w:sz w:val="20"/>
        </w:rPr>
        <w:t>Strict multi-tenant architecture inheriting from ProjectScoped with project_id filters. Independent target Databricks catalogs for DEV, TEST, UAT, and PROD environments.</w:t>
      </w:r>
    </w:p>
    <w:p>
      <w:pPr>
        <w:spacing w:before="80" w:after="40"/>
      </w:pPr>
      <w:r>
        <w:rPr>
          <w:b/>
          <w:color w:val="166534"/>
        </w:rPr>
        <w:t xml:space="preserve">✓ 5. Data Protection &amp; Secret Masking: </w:t>
      </w:r>
      <w:r>
        <w:rPr>
          <w:color w:val="334155"/>
          <w:sz w:val="20"/>
        </w:rPr>
        <w:t>Automated secret masking via mask_secrets(). Sensitive passwords and tokens are redacted from all UI screens and API logs; configuration stored securely in .env.</w:t>
      </w:r>
    </w:p>
    <w:p>
      <w:pPr>
        <w:spacing w:before="80" w:after="40"/>
      </w:pPr>
      <w:r>
        <w:rPr>
          <w:b/>
          <w:color w:val="166534"/>
        </w:rPr>
        <w:t xml:space="preserve">✓ 6. Audit Trail &amp; Destructive Action Safety: </w:t>
      </w:r>
      <w:r>
        <w:rPr>
          <w:color w:val="334155"/>
          <w:sz w:val="20"/>
        </w:rPr>
        <w:t>Immutable CanonicalRecord event logging for all pipeline runs. Destructive actions require cryptographic confirmation tokens and validation hashes.</w:t>
      </w:r>
    </w:p>
    <w:p>
      <w:pPr>
        <w:spacing w:before="80" w:after="40"/>
      </w:pPr>
      <w:r>
        <w:rPr>
          <w:b/>
          <w:color w:val="166534"/>
        </w:rPr>
        <w:t xml:space="preserve">✓ 7. Input Security &amp; SQL Injection Prevention: </w:t>
      </w:r>
      <w:r>
        <w:rPr>
          <w:color w:val="334155"/>
          <w:sz w:val="20"/>
        </w:rPr>
        <w:t>Pydantic v2 schemas for all payload validations; parameterized SQL execution across all database transactions to eliminate injection vulnerabilities.</w:t>
      </w:r>
    </w:p>
    <w:p>
      <w:pPr>
        <w:spacing w:before="80" w:after="40"/>
      </w:pPr>
      <w:r>
        <w:rPr>
          <w:b/>
          <w:color w:val="166534"/>
        </w:rPr>
        <w:t xml:space="preserve">✓ 8. Error Handling &amp; Preflight Remediation: </w:t>
      </w:r>
      <w:r>
        <w:rPr>
          <w:color w:val="334155"/>
          <w:sz w:val="20"/>
        </w:rPr>
        <w:t>Standardized HTTP exceptions (400, 401, 403, 404, 409) with actionable remediation guidance displayed in preflight notification ribbons.</w:t>
      </w:r>
    </w:p>
    <w:p>
      <w:pPr>
        <w:spacing w:before="80" w:after="40"/>
      </w:pPr>
      <w:r>
        <w:rPr>
          <w:b/>
          <w:color w:val="166534"/>
        </w:rPr>
        <w:t xml:space="preserve">✓ 9. Deployment Configuration &amp; Multi-Environment Support: </w:t>
      </w:r>
      <w:r>
        <w:rPr>
          <w:color w:val="334155"/>
          <w:sz w:val="20"/>
        </w:rPr>
        <w:t>Decoupled FastAPI backend and Vite frontend conforming to 12-factor configuration principles with environment-based routing.</w:t>
      </w:r>
    </w:p>
    <w:p>
      <w:pPr>
        <w:spacing w:before="80" w:after="40"/>
      </w:pPr>
      <w:r>
        <w:rPr>
          <w:b/>
          <w:color w:val="166534"/>
        </w:rPr>
        <w:t xml:space="preserve">✓ 10. Monitoring, Live Terminal &amp; Diagnostics: </w:t>
      </w:r>
      <w:r>
        <w:rPr>
          <w:color w:val="334155"/>
          <w:sz w:val="20"/>
        </w:rPr>
        <w:t>Embedded real-time terminal console streaming live migration execution logs, deployment attempts history, and /system/diagnostics health checks.</w:t>
      </w:r>
    </w:p>
    <w:p>
      <w:pPr>
        <w:spacing w:before="80" w:after="40"/>
      </w:pPr>
      <w:r>
        <w:rPr>
          <w:b/>
          <w:color w:val="166534"/>
        </w:rPr>
        <w:t xml:space="preserve">✓ 11. High Performance &amp; Chunked Batch Ingestion: </w:t>
      </w:r>
      <w:r>
        <w:rPr>
          <w:color w:val="334155"/>
          <w:sz w:val="20"/>
        </w:rPr>
        <w:t>Optimized ingestion processing batches of 10,000 rows, client-side pagination, and sub-2-second frontend production build time.</w:t>
      </w:r>
    </w:p>
    <w:p>
      <w:pPr>
        <w:spacing w:before="80" w:after="40"/>
      </w:pPr>
      <w:r>
        <w:rPr>
          <w:b/>
          <w:color w:val="166534"/>
        </w:rPr>
        <w:t xml:space="preserve">✓ 12. Release Management &amp; Version Control: </w:t>
      </w:r>
      <w:r>
        <w:rPr>
          <w:color w:val="334155"/>
          <w:sz w:val="20"/>
        </w:rPr>
        <w:t>Semantic versioning (v1, v2) for generated migration artifacts, dependency DAG resolution, and idempotent script replay.</w:t>
      </w:r>
    </w:p>
    <w:p>
      <w:pPr>
        <w:spacing w:before="80" w:after="40"/>
      </w:pPr>
      <w:r>
        <w:rPr>
          <w:b/>
          <w:color w:val="166534"/>
        </w:rPr>
        <w:t xml:space="preserve">✓ 13. Project Manifest Backup &amp; Data Export: </w:t>
      </w:r>
      <w:r>
        <w:rPr>
          <w:color w:val="334155"/>
          <w:sz w:val="20"/>
        </w:rPr>
        <w:t>Single-click full project manifest export (complete JSON configuration) and CSV export for deployment attempt and reconciliation evidence logs.</w:t>
      </w:r>
    </w:p>
    <w:p>
      <w:pPr>
        <w:spacing w:before="80" w:after="40"/>
      </w:pPr>
      <w:r>
        <w:rPr>
          <w:b/>
          <w:color w:val="166534"/>
        </w:rPr>
        <w:t xml:space="preserve">✓ 14. Session Security &amp; Expiration: </w:t>
      </w:r>
      <w:r>
        <w:rPr>
          <w:color w:val="334155"/>
          <w:sz w:val="20"/>
        </w:rPr>
        <w:t>Signed JWT tokens with expiration timestamp claims, client-side token discard on sign out, and automated 401 redirect interception.</w:t>
      </w:r>
    </w:p>
    <w:p>
      <w:pPr>
        <w:spacing w:before="280" w:after="80"/>
      </w:pPr>
      <w:r>
        <w:rPr>
          <w:b/>
          <w:color w:val="1A365D"/>
          <w:sz w:val="30"/>
        </w:rPr>
        <w:t>4. Section II: Items We Do NOT Need to Implement (OUT-OF-SCOPE)</w:t>
      </w:r>
    </w:p>
    <w:p>
      <w:pPr>
        <w:spacing w:after="120"/>
      </w:pPr>
      <w:r>
        <w:t>The following items from the generic checklist are OUT-OF-SCOPE because this application is a Data Conversion / Migration Engine, not a multi-tenant consumer SaaS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7F1D1D"/>
          </w:tcPr>
          <w:p>
            <w:pPr>
              <w:spacing w:after="0"/>
            </w:pPr>
            <w:r>
              <w:rPr>
                <w:b/>
                <w:color w:val="FFFFFF"/>
              </w:rPr>
              <w:t>Feature Area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7F1D1D"/>
          </w:tcPr>
          <w:p>
            <w:pPr>
              <w:spacing w:after="0"/>
            </w:pPr>
            <w:r>
              <w:rPr>
                <w:b/>
                <w:color w:val="FFFFFF"/>
              </w:rPr>
              <w:t>Why It Is OUT-OF-SCOPE (Not Needed)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7F1D1D"/>
          </w:tcPr>
          <w:p>
            <w:pPr>
              <w:spacing w:after="0"/>
            </w:pPr>
            <w:r>
              <w:rPr>
                <w:b/>
                <w:color w:val="FFFFFF"/>
              </w:rPr>
              <w:t>Current Alternative in Application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User Login &amp; Password Reset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color w:val="334155"/>
                <w:sz w:val="19"/>
              </w:rPr>
              <w:t>Internal migration tool operated by technical engineers. Consumer self-service email/SMTP password reset is unnecessary overhead.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color w:val="334155"/>
                <w:sz w:val="19"/>
              </w:rPr>
              <w:t>Secure local credentials, PBKDF2 (310k rounds) hashing, and 5-attempt brute-force lockout.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Admin Portal for User Management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Public user provisioning is for consumer platforms. A data migration tool does not need user invitation panels.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Database administrators configure environment settings directly via .env and secure config.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Multi-Tier Granular RBAC Matrix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color w:val="334155"/>
                <w:sz w:val="19"/>
              </w:rPr>
              <w:t>Micro-role matrices (e.g. custom button permissions for Architect vs Auditor) add needless friction to a migration engine.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color w:val="334155"/>
                <w:sz w:val="19"/>
              </w:rPr>
              <w:t>Standard Admin execution gates on destructive promotions are already enforced and sufficient.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Enterprise SSO (SAML 2.0 / Azure AD / Okta)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Enterprise SSO depends on corporate IT identity federation, certificates, and firewalls. This is external infrastructure.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9"/>
              </w:rPr>
              <w:t>Local JWT authentication with encrypted passwords provides independent, secure operational access.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Formal WCAG 2.2 AA Screen Reader Audit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color w:val="334155"/>
                <w:sz w:val="19"/>
              </w:rPr>
              <w:t>Screen-reader certification (JAWS/NVDA) applies to public consumer portals. Internal B2B engineering tools do not require this.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fill="FEF2F2"/>
          </w:tcPr>
          <w:p>
            <w:pPr>
              <w:spacing w:after="0"/>
            </w:pPr>
            <w:r>
              <w:rPr>
                <w:color w:val="334155"/>
                <w:sz w:val="19"/>
              </w:rPr>
              <w:t>High-contrast visual themes, legible typography, responsive layouts, and intuitive steppers are already in place.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A365D"/>
          <w:sz w:val="30"/>
        </w:rPr>
        <w:t>5. Section III: In-Scope Enhancements (Optional Roadmap Items)</w:t>
      </w:r>
    </w:p>
    <w:p>
      <w:pPr>
        <w:spacing w:before="80" w:after="40"/>
      </w:pPr>
      <w:r>
        <w:rPr>
          <w:b/>
          <w:color w:val="0D9488"/>
        </w:rPr>
        <w:t xml:space="preserve">• Automated Database Backup Daemon: </w:t>
      </w:r>
      <w:r>
        <w:rPr>
          <w:color w:val="334155"/>
          <w:sz w:val="20"/>
        </w:rPr>
        <w:t>A background scheduler in FastAPI to periodically write snapshot copies of migration_factory.db to a backups/ directory. (Currently, manual SQLite file backup and full JSON manifest export exist).</w:t>
      </w:r>
    </w:p>
    <w:p>
      <w:pPr>
        <w:spacing w:before="80" w:after="40"/>
      </w:pPr>
      <w:r>
        <w:rPr>
          <w:b/>
          <w:color w:val="0D9488"/>
        </w:rPr>
        <w:t xml:space="preserve">• Standalone Operations Runbook (PDF/Manual): </w:t>
      </w:r>
      <w:r>
        <w:rPr>
          <w:color w:val="334155"/>
          <w:sz w:val="20"/>
        </w:rPr>
        <w:t>A downloadable user and operations guide documenting installation, troubleshooting, and end-to-end migration scenarios. (Currently, comprehensive in-app contextual guidelines and tooltips exist).</w:t>
      </w:r>
    </w:p>
    <w:p>
      <w:pPr>
        <w:spacing w:before="280" w:after="80"/>
      </w:pPr>
      <w:r>
        <w:rPr>
          <w:b/>
          <w:color w:val="1A365D"/>
          <w:sz w:val="30"/>
        </w:rPr>
        <w:t>6. Master Scope &amp; Compliance Matrix (All 21 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Requirement Area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Status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Implementation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Business Purpose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Core Workflow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3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UI / UX Tests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4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Login &amp; Password Reset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991B1B"/>
                <w:sz w:val="18"/>
              </w:rPr>
              <w:t>OUT-OF-SCOPE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9CA3AF"/>
                <w:sz w:val="18"/>
              </w:rPr>
              <w:t>NOT NEEDED (Consumer Feature)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5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Session Security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6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Roles &amp; Permissions (RBAC)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991B1B"/>
                <w:sz w:val="18"/>
              </w:rPr>
              <w:t>OUT-OF-SCOPE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9CA3AF"/>
                <w:sz w:val="18"/>
              </w:rPr>
              <w:t>NOT NEEDED (Conversion Tool)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7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Portal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991B1B"/>
                <w:sz w:val="18"/>
              </w:rPr>
              <w:t>OUT-OF-SCOPE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9CA3AF"/>
                <w:sz w:val="18"/>
              </w:rPr>
              <w:t>NOT NEEDED (Conversion Tool)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8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Client Data Isolation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9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Data Protection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Audit Trail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Input &amp; API Security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Error Handling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13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Backup &amp; Recovery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PARTIAL / ROADMAP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14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Deployment &amp; Config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15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Monitoring &amp; Support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16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Documentation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PARTIAL / ROADMAP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17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Performance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18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Data Retention &amp; Cutover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19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Enterprise SSO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991B1B"/>
                <w:sz w:val="18"/>
              </w:rPr>
              <w:t>OUT-OF-SCOPE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9CA3AF"/>
                <w:sz w:val="18"/>
              </w:rPr>
              <w:t>NOT NEEDED (External IT Infra)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20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Accessibility (WCAG 2.2 AA)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991B1B"/>
                <w:sz w:val="18"/>
              </w:rPr>
              <w:t>OUT-OF-SCOPE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9CA3AF"/>
                <w:sz w:val="18"/>
              </w:rPr>
              <w:t>NOT NEEDED (Internal B2B Tool)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21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Release Management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334155"/>
                <w:sz w:val="18"/>
              </w:rPr>
              <w:t>P1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A365D"/>
                <w:sz w:val="18"/>
              </w:rPr>
              <w:t>IN-SCOPE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✓ IMPLEMENTED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A365D"/>
          <w:sz w:val="30"/>
        </w:rPr>
        <w:t>7. Final Demonstration Sign-Off Status</w:t>
      </w:r>
    </w:p>
    <w:p>
      <w:pPr>
        <w:spacing w:after="80"/>
      </w:pPr>
      <w:r>
        <w:rPr>
          <w:b/>
          <w:color w:val="166534"/>
          <w:sz w:val="24"/>
        </w:rPr>
        <w:t>STATUS: 🟢 READY FOR DEMONSTRATION &amp; CLIENT PRODUCTION USE</w:t>
        <w:br/>
      </w:r>
      <w:r>
        <w:t>All 14 core migration capabilities are 100% operational. The SQL Server discovery engine, Medallion compilation, DDL generation, multi-environment deployment gates, and reconciliation evidence execute reliably end-to-end. The 5 excluded items are non-applicable consumer features, ensuring our tool is enterprise-compliant for pure conversion workloads.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