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four contributions. First, it defines an end-to-end routing loop that combines interpretable query features, disjoint LinUCB, and an explicit quality-cost-latency reward with consistent treatment of failures. Second, it specifies a controlled same-family model pool and a full-information replay protocol that compares LinUCB with small-only, large-only, random, and rule-based routing. Third, it reports a pilot on 300 GSM8K problems with Qwen3-4B, 8B, and 14B on a single RTX 4090, including reward-weight, exploration, ablation, and bandit-variant sweeps. Fourth, it reports where LinUCB does not help: on this single-category workload it matches but does not exceed the best fixed policy. The router never modifies model weights; it learns which model to select for which kinds of queries. Five research questions guide the study: how to represent a query as a context (RQ1); whether LinUCB beats fixed, random, and rule-based routing under the same reward (RQ2); how reward weights move the operating point (RQ3); how quickly routing adapts to shift (RQ4); and in which task categories adaptive routing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reduces LLM API cost with a cascade that stops once a scorer judges a response reliable, and Hybrid LLM [2] routes between a small and a large model by predicted difficulty. RouteLLM [3] learns a strong/weak router from preference data, Shnitzer et al. [4] learn selection rules from benchmarks, and Zooter [5] distills reward-model scores into a routing function; LLM-Blender [12] ensembles the outputs of several models at the price of running all of them. These routers are largely supervised and fixed after training. On the bandit side, UCB strategies select the action with the highest optimistic estimate [13]; LinUCB [8] conditions this on context, with regret analyses by Chu et al. [9] and improved confidence sets by Abbasi-Yadkori et al. [14]. Logged data allow offline replay evaluation of bandit policies [15], and sliding-window and discounted UCB handle non-stationary rewards [16]. MixLLM [10] applies contextual bandits to routing with tag-enhanced embeddings and quality and cost predictors, and PILOT [11] extends LinUCB with a learned query-model embedding and an online budget policy. Reward quality depends on scoring: references and unit tests are reliable where they apply [17]-[19], while LLM judges show position and verbosity biases [20]. The present work keeps the router deliberately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sequentially for t = 1, ..., T. For query q_t a feature extractor produces x_t in R^d, the router chooses a model a_t from the candidate set K, and the system observes a reward r_t only for that model. The goal is to maximize cumulative reward</w:t>
      </w:r>
    </w:p>
    <w:p>
      <w:pPr>
        <w:tabs>
          <w:tab w:pos="2412" w:val="center"/>
          <w:tab w:pos="4824" w:val="right"/>
        </w:tabs>
        <w:spacing w:before="20" w:after="40" w:line="240" w:lineRule="auto"/>
      </w:pPr>
      <w:r>
        <w:rPr>
          <w:rFonts w:ascii="Times New Roman" w:hAnsi="Times New Roman"/>
          <w:sz w:val="18"/>
        </w:rPr>
        <w:tab/>
        <w:t xml:space="preserve">G(T) = Σ_{t=1..T} r_t(a_t)</w:t>
        <w:tab/>
        <w:t>(1)</w:t>
      </w:r>
    </w:p>
    <w:p>
      <w:pPr>
        <w:keepNext w:val="0"/>
        <w:spacing w:before="0" w:after="20" w:line="240" w:lineRule="auto"/>
        <w:ind w:firstLine="216"/>
        <w:jc w:val="both"/>
      </w:pPr>
      <w:r>
        <w:rPr>
          <w:rFonts w:ascii="Times New Roman" w:hAnsi="Times New Roman"/>
          <w:sz w:val="20"/>
        </w:rPr>
        <w:t xml:space="preserve">or, equivalently, to minimize regret relative to the per-query oracle a*_t = argmax_a r_t(a), which is computable only because every model is run on every query offline:</w:t>
      </w:r>
    </w:p>
    <w:p>
      <w:pPr>
        <w:tabs>
          <w:tab w:pos="2412" w:val="center"/>
          <w:tab w:pos="4824" w:val="right"/>
        </w:tabs>
        <w:spacing w:before="20" w:after="40" w:line="240" w:lineRule="auto"/>
      </w:pPr>
      <w:r>
        <w:rPr>
          <w:rFonts w:ascii="Times New Roman" w:hAnsi="Times New Roman"/>
          <w:sz w:val="18"/>
        </w:rPr>
        <w:tab/>
        <w:t xml:space="preserve">Reg(T) = Σ_{t=1..T} [ r_t(a*_t) − r_t(a_t) ]</w:t>
        <w:tab/>
        <w:t>(2)</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Quality is 1 when the final numeric answer matches the reference and 0 otherwise; the scorer reproduces all 1,319 GSM8K reference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The context x_t has d = 12 entries computed before generation: log prompt length, a one-hot indicator over the seven task categories, a code-content indicator, a reasoning-cue indicator, a difficulty estimate, and a constant bias. A low-dimensional sentence embedding [23] is an optional extension. The contribution of each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Disjoint LinUCB [8] keeps for each model a a d×d matrix A_a and a vector b_a, initialized as</w:t>
      </w:r>
    </w:p>
    <w:p>
      <w:pPr>
        <w:tabs>
          <w:tab w:pos="2412" w:val="center"/>
          <w:tab w:pos="4824" w:val="right"/>
        </w:tabs>
        <w:spacing w:before="20" w:after="40" w:line="240" w:lineRule="auto"/>
      </w:pPr>
      <w:r>
        <w:rPr>
          <w:rFonts w:ascii="Times New Roman" w:hAnsi="Times New Roman"/>
          <w:sz w:val="18"/>
        </w:rPr>
        <w:tab/>
        <w:t xml:space="preserve">A_a = λ·I_d,   b_a = 0_d</w:t>
        <w:tab/>
        <w:t>(3)</w:t>
      </w:r>
    </w:p>
    <w:p>
      <w:pPr>
        <w:keepNext w:val="0"/>
        <w:spacing w:before="0" w:after="20" w:line="240" w:lineRule="auto"/>
        <w:ind w:firstLine="216"/>
        <w:jc w:val="both"/>
      </w:pPr>
      <w:r>
        <w:rPr>
          <w:rFonts w:ascii="Times New Roman" w:hAnsi="Times New Roman"/>
          <w:sz w:val="20"/>
        </w:rPr>
        <w:t xml:space="preserve">with regularization λ &gt; 0. The reward estimate for model a is θ_a = A_a⁻¹ b_a, and its score for context x is</w:t>
      </w:r>
    </w:p>
    <w:p>
      <w:pPr>
        <w:tabs>
          <w:tab w:pos="2412" w:val="center"/>
          <w:tab w:pos="4824" w:val="right"/>
        </w:tabs>
        <w:spacing w:before="20" w:after="40" w:line="240" w:lineRule="auto"/>
      </w:pPr>
      <w:r>
        <w:rPr>
          <w:rFonts w:ascii="Times New Roman" w:hAnsi="Times New Roman"/>
          <w:sz w:val="18"/>
        </w:rPr>
        <w:tab/>
        <w:t xml:space="preserve">p_a = θ_aᵀ x + α · √( xᵀ A_a⁻¹ x )</w:t>
        <w:tab/>
        <w:t>(4)</w:t>
      </w:r>
    </w:p>
    <w:p>
      <w:pPr>
        <w:keepNext w:val="0"/>
        <w:spacing w:before="0" w:after="20" w:line="240" w:lineRule="auto"/>
        <w:ind w:firstLine="216"/>
        <w:jc w:val="both"/>
      </w:pPr>
      <w:r>
        <w:rPr>
          <w:rFonts w:ascii="Times New Roman" w:hAnsi="Times New Roman"/>
          <w:sz w:val="20"/>
        </w:rPr>
        <w:t xml:space="preserve">The first term estimates the expected reward; the second is an exploration bonus that is large when the router has little experience with similar contexts for that model, scaled by α. The router selects a_t = argmax_a p_a and, after observing r_t, updates only the chosen model:</w:t>
      </w:r>
    </w:p>
    <w:p>
      <w:pPr>
        <w:tabs>
          <w:tab w:pos="2412" w:val="center"/>
          <w:tab w:pos="4824" w:val="right"/>
        </w:tabs>
        <w:spacing w:before="20" w:after="40" w:line="240" w:lineRule="auto"/>
      </w:pPr>
      <w:r>
        <w:rPr>
          <w:rFonts w:ascii="Times New Roman" w:hAnsi="Times New Roman"/>
          <w:sz w:val="18"/>
        </w:rPr>
        <w:tab/>
        <w:t xml:space="preserve">A_a ← A_a + x_t x_tᵀ,   b_a ← b_a + r_t x_t   (a = a_t)</w:t>
        <w:tab/>
        <w:t>(5)</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357530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309360" cy="3575304"/>
                    </a:xfrm>
                    <a:prstGeom prst="rect"/>
                  </pic:spPr>
                </pic:pic>
              </a:graphicData>
            </a:graphic>
          </wp:inline>
        </w:drawing>
      </w:r>
    </w:p>
    <w:p>
      <w:pPr>
        <w:keepNext w:val="0"/>
        <w:spacing w:before="20" w:after="60"/>
        <w:jc w:val="center"/>
      </w:pPr>
      <w:r>
        <w:rPr>
          <w:rFonts w:ascii="Times New Roman" w:hAnsi="Times New Roman"/>
          <w:sz w:val="16"/>
        </w:rPr>
        <w:t xml:space="preserve">Fig. 1. Proposed adaptive LLM routing loop with contextual-bandit feedback.</w:t>
      </w:r>
    </w:p>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combines the competing objectives as</w:t>
      </w:r>
    </w:p>
    <w:p>
      <w:pPr>
        <w:tabs>
          <w:tab w:pos="2412" w:val="center"/>
          <w:tab w:pos="4824" w:val="right"/>
        </w:tabs>
        <w:spacing w:before="20" w:after="40" w:line="240" w:lineRule="auto"/>
      </w:pPr>
      <w:r>
        <w:rPr>
          <w:rFonts w:ascii="Times New Roman" w:hAnsi="Times New Roman"/>
          <w:sz w:val="18"/>
        </w:rPr>
        <w:tab/>
        <w:t xml:space="preserve">R = α_q · Q − β_c · C̃ − γ_l · L̃</w:t>
        <w:tab/>
        <w:t>(6)</w:t>
      </w:r>
    </w:p>
    <w:p>
      <w:pPr>
        <w:keepNext w:val="0"/>
        <w:spacing w:before="0" w:after="20" w:line="240" w:lineRule="auto"/>
        <w:ind w:firstLine="216"/>
        <w:jc w:val="both"/>
      </w:pPr>
      <w:r>
        <w:rPr>
          <w:rFonts w:ascii="Times New Roman" w:hAnsi="Times New Roman"/>
          <w:sz w:val="20"/>
        </w:rPr>
        <w:t xml:space="preserve">where Q in [0, 1] is response quality (the weight α_q is distinct from the exploration coefficient α), and C̃ and L̃ are cost and latency normalized with fixed ranges from the development split and clipped to [0, 1], e.g., C̃ = clip((C − C_min)/(C_max − C_min), 0, 1). The pilot uses α_q = 1.0, β_c = 0.3, and γ_l = 0.2, with ranges C in [0.93, 6.25] and L in [2,746, 8,853] ms. Failures and timeouts receive Q = 0 with their measured cost and latency, so a cheap but unusable response cannot earn a high reward. Feedback can also come from user ratings or a judge model [20]; judge scores are validated against manual inspection before use, and observations without a validated quality signal are excluded from updates.</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LinUCB selects with Eq. (4) and updates with Eq. (5).</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oracle in Eq. (2)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No request failed or timed out.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w:t>
        <w:br/>
        <w:t xml:space="preserve">PER-MODEL OUTCOMES ON GSM8K (DEV n = 90, TEST n = 210) AND LINUCB SELECTION SHARE ON TEST</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1700"/>
        <w:gridCol w:w="1700"/>
        <w:gridCol w:w="1700"/>
        <w:gridCol w:w="1700"/>
        <w:gridCol w:w="1823"/>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Model</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Accuracy Dev /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Latency (ms,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Output Tokens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Cost / Request (test)</w:t>
            </w:r>
          </w:p>
        </w:tc>
        <w:tc>
          <w:tcPr>
            <w:tcW w:type="dxa" w:w="18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LinUCB Share (test)</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Qwen3-4B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0.867 / 0.948</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5,371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251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0.982</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Qwen3-8B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0.922 / 0.957</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5,831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280</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3.075</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0.012</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Qwen3-14B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0.944 / 0.952</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5,235</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231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4.706</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0.006</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B. Overall Comparison (E1)</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w:t>
        <w:br/>
        <w:t xml:space="preserve">OVERALL POLICY COMPARISON ON THE HELD-OUT SPLIT (210 QUERIES, MEAN ± SD OVER 5 SEEDS)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723"/>
        <w:gridCol w:w="1200"/>
        <w:gridCol w:w="1200"/>
        <w:gridCol w:w="1200"/>
        <w:gridCol w:w="1200"/>
        <w:gridCol w:w="1200"/>
        <w:gridCol w:w="1200"/>
        <w:gridCol w:w="1200"/>
      </w:tblGrid>
      <w:tr>
        <w:trPr>
          <w:tblHeader/>
        </w:trPr>
        <w:tc>
          <w:tcPr>
            <w:tcW w:type="dxa" w:w="17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Quality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p95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Request</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Failure Rate</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Cumulative Reward</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5371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9290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1.423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5235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8297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4.706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5464 ± 61</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8522 ± 349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3.131 ± 0.102</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5371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9290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1.423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 (proposed)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5359 ± 28</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9273 ± 39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1.460 ± 0.009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sectPr>
          <w:type w:val="continuous"/>
          <w:pgSz w:w="11909" w:h="16834"/>
          <w:pgMar w:top="778" w:right="893" w:bottom="1440" w:left="893" w:header="288" w:footer="360" w:gutter="0"/>
          <w:cols w:space="360" w:num="1"/>
          <w:docGrid w:linePitch="360"/>
        </w:sectPr>
      </w:pPr>
    </w:p>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302849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309360" cy="3028493"/>
                    </a:xfrm>
                    <a:prstGeom prst="rect"/>
                  </pic:spPr>
                </pic:pic>
              </a:graphicData>
            </a:graphic>
          </wp:inline>
        </w:drawing>
      </w:r>
    </w:p>
    <w:p>
      <w:pPr>
        <w:keepNext w:val="0"/>
        <w:spacing w:before="20" w:after="6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p>
      <w:pPr>
        <w:sectPr>
          <w:type w:val="continuous"/>
          <w:pgSz w:w="11909" w:h="16834"/>
          <w:pgMar w:top="778" w:right="893" w:bottom="1440" w:left="893" w:header="288" w:footer="360" w:gutter="0"/>
          <w:cols w:space="360" w:num="1"/>
          <w:docGrid w:linePitch="360"/>
        </w:sectPr>
      </w:pP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III</w:t>
        <w:br/>
        <w:t xml:space="preserve">SWEEPS ON THE HELD-OUT SPLIT (LINUCB UNLESS STATED; MEAN OVER 5 SEEDS)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2900"/>
        <w:gridCol w:w="1300"/>
        <w:gridCol w:w="1300"/>
        <w:gridCol w:w="1300"/>
        <w:gridCol w:w="1100"/>
        <w:gridCol w:w="2223"/>
      </w:tblGrid>
      <w:tr>
        <w:trPr>
          <w:tblHeader/>
        </w:trPr>
        <w:tc>
          <w:tcPr>
            <w:tcW w:type="dxa" w:w="2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Setting</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Reward</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Quality</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Cost / Request</w:t>
            </w:r>
          </w:p>
        </w:tc>
        <w:tc>
          <w:tcPr>
            <w:tcW w:type="dxa" w:w="11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Regret</w:t>
            </w:r>
          </w:p>
        </w:tc>
        <w:tc>
          <w:tcPr>
            <w:tcW w:type="dxa" w:w="22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Share 4B / 8B / 14B</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 γ_l = 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10.0</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0.1, γ_l = 0.05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0.918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9.6</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0.3, γ_l = 0.2</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0.6, γ_l = 0.4</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0.687</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1.759</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16.4</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0.80 / 0.20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1.0, γ_l = 0.6</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0.610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6.2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0, 0.1, 0.25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0.5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0.799</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2.098</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0.60 / 0.39 / 0.01</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0.836</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1.460</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9.3</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0.98 / 0.01 / 0.01</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2.0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0.813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1.945</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0.75 / 0.17 / 0.07</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Linear Thompson sampling</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0.823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1.766</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12.0</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0.88 / 0.03 / 0.09</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ε-greedy ridge (ε = 0.1)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0.949</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1.887</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14.8</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0.76 / 0.21 / 0.03</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Sliding-window LinUCB</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β_c = 0.6, γ_l =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Bandit variants: sliding-window LinUCB equals LinUCB on this stationary stream, while linear Thompson sampling and ε-greedy explore more and lose 0.015 and 0.028 mean reward.</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disjoint LinUCB policy with its per-model A_a and b_a,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POST to /route extracts features, scores the three models, calls the selected one, and returns its answer together with a decision identifier and every model's score; a failed or timed-out call is converted immediately into a zero-quality update. A POST to /feedback attaches a quality rating to a pending decision and applies the LinUCB update, and GET /stats exposes the update counts, the exploration coefficient, and the reward configuration. Each decision is appended to an audit log with its context vector, model, latency, cost, quality, and reward, which allows any routing choice to be reconstructed. A minimal web page lets a user type a query, see which model was chosen and why, and rate the answer, and a demo mode exercises the routing and learning logic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 Future work is to run the full seven-category evaluation with workload shift, add features that predict small-model failures, measure GPU-time cost under concurrent load, compare budget-constrained routing [11], and evaluate non-stationary and neural bandit variants.</w:t>
      </w:r>
    </w:p>
    <w:p>
      <w:pPr>
        <w:keepNext/>
        <w:spacing w:before="10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