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pBdr>
          <w:left w:val="single" w:color="2A8C82" w:sz="36" w:space="12"/>
        </w:pBdr>
        <w:spacing w:after="120"/>
      </w:pPr>
      <w:r>
        <w:rPr>
          <w:rFonts w:ascii="Arial" w:cs="Arial" w:eastAsia="Arial" w:hAnsi="Arial"/>
          <w:b/>
          <w:bCs/>
          <w:color w:val="2A8C82"/>
          <w:spacing w:val="40"/>
          <w:sz w:val="24"/>
          <w:szCs w:val="24"/>
        </w:rPr>
        <w:t xml:space="preserve">SUPPLY CHAIN PERFORMANCE REPORT</w:t>
      </w:r>
    </w:p>
    <w:p>
      <w:pPr>
        <w:pBdr>
          <w:left w:val="single" w:color="2A8C82" w:sz="36" w:space="12"/>
        </w:pBdr>
        <w:spacing w:after="140"/>
      </w:pPr>
      <w:r>
        <w:rPr>
          <w:rFonts w:ascii="Arial" w:cs="Arial" w:eastAsia="Arial" w:hAnsi="Arial"/>
          <w:b/>
          <w:bCs/>
          <w:color w:val="1B2A4A"/>
          <w:sz w:val="56"/>
          <w:szCs w:val="56"/>
        </w:rPr>
        <w:t xml:space="preserve">Late Delivery Analysis, Profitability Impact &amp; Predictive Alert System</w:t>
      </w:r>
    </w:p>
    <w:p>
      <w:pPr>
        <w:pBdr>
          <w:left w:val="single" w:color="2A8C82" w:sz="36" w:space="12"/>
        </w:pBdr>
        <w:spacing w:after="600"/>
      </w:pPr>
      <w:r>
        <w:rPr>
          <w:rFonts w:ascii="Arial" w:cs="Arial" w:eastAsia="Arial" w:hAnsi="Arial"/>
          <w:color w:val="6B7280"/>
          <w:sz w:val="24"/>
          <w:szCs w:val="24"/>
        </w:rPr>
        <w:t xml:space="preserve">Global e-commerce fulfilment operations  |  172,765 orders  |  January 2015 – January 2018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rPr>
        <w:tc>
          <w:tcPr>
            <w:tcW w:type="dxa" w:w="2256"/>
            <w:tcBorders>
              <w:top w:val="single" w:color="D0D7E2" w:sz="4"/>
              <w:left w:val="single" w:color="D0D7E2" w:sz="4"/>
              <w:bottom w:val="single" w:color="D0D7E2" w:sz="4"/>
              <w:right w:val="single" w:color="D0D7E2" w:sz="4"/>
            </w:tcBorders>
            <w:shd w:fill="F4F6FA" w:color="auto" w:val="clear"/>
            <w:tcMar>
              <w:top w:type="dxa" w:w="140"/>
              <w:left w:type="dxa" w:w="80"/>
              <w:bottom w:type="dxa" w:w="140"/>
              <w:right w:type="dxa" w:w="80"/>
            </w:tcMar>
          </w:tcPr>
          <w:p>
            <w:pPr>
              <w:spacing w:after="40"/>
              <w:jc w:val="center"/>
            </w:pPr>
            <w:r>
              <w:rPr>
                <w:rFonts w:ascii="Arial" w:cs="Arial" w:eastAsia="Arial" w:hAnsi="Arial"/>
                <w:b/>
                <w:bCs/>
                <w:color w:val="800000"/>
                <w:sz w:val="36"/>
                <w:szCs w:val="36"/>
              </w:rPr>
              <w:t xml:space="preserve">54.71%</w:t>
            </w:r>
          </w:p>
          <w:p>
            <w:pPr>
              <w:spacing w:after="0"/>
              <w:jc w:val="center"/>
            </w:pPr>
            <w:r>
              <w:rPr>
                <w:rFonts w:ascii="Arial" w:cs="Arial" w:eastAsia="Arial" w:hAnsi="Arial"/>
                <w:color w:val="6B7280"/>
                <w:sz w:val="17"/>
                <w:szCs w:val="17"/>
              </w:rPr>
              <w:t xml:space="preserve">Orders delivered late</w:t>
            </w:r>
          </w:p>
        </w:tc>
        <w:tc>
          <w:tcPr>
            <w:tcW w:type="dxa" w:w="2256"/>
            <w:tcBorders>
              <w:top w:val="single" w:color="D0D7E2" w:sz="4"/>
              <w:left w:val="single" w:color="D0D7E2" w:sz="4"/>
              <w:bottom w:val="single" w:color="D0D7E2" w:sz="4"/>
              <w:right w:val="single" w:color="D0D7E2" w:sz="4"/>
            </w:tcBorders>
            <w:shd w:fill="F4F6FA" w:color="auto" w:val="clear"/>
            <w:tcMar>
              <w:top w:type="dxa" w:w="140"/>
              <w:left w:type="dxa" w:w="80"/>
              <w:bottom w:type="dxa" w:w="140"/>
              <w:right w:type="dxa" w:w="80"/>
            </w:tcMar>
          </w:tcPr>
          <w:p>
            <w:pPr>
              <w:spacing w:after="40"/>
              <w:jc w:val="center"/>
            </w:pPr>
            <w:r>
              <w:rPr>
                <w:rFonts w:ascii="Arial" w:cs="Arial" w:eastAsia="Arial" w:hAnsi="Arial"/>
                <w:b/>
                <w:bCs/>
                <w:color w:val="800000"/>
                <w:sz w:val="36"/>
                <w:szCs w:val="36"/>
              </w:rPr>
              <w:t xml:space="preserve">$2.1M</w:t>
            </w:r>
          </w:p>
          <w:p>
            <w:pPr>
              <w:spacing w:after="0"/>
              <w:jc w:val="center"/>
            </w:pPr>
            <w:r>
              <w:rPr>
                <w:rFonts w:ascii="Arial" w:cs="Arial" w:eastAsia="Arial" w:hAnsi="Arial"/>
                <w:color w:val="6B7280"/>
                <w:sz w:val="17"/>
                <w:szCs w:val="17"/>
              </w:rPr>
              <w:t xml:space="preserve">Profit generated by delayed orders</w:t>
            </w:r>
          </w:p>
        </w:tc>
        <w:tc>
          <w:tcPr>
            <w:tcW w:type="dxa" w:w="2256"/>
            <w:tcBorders>
              <w:top w:val="single" w:color="D0D7E2" w:sz="4"/>
              <w:left w:val="single" w:color="D0D7E2" w:sz="4"/>
              <w:bottom w:val="single" w:color="D0D7E2" w:sz="4"/>
              <w:right w:val="single" w:color="D0D7E2" w:sz="4"/>
            </w:tcBorders>
            <w:shd w:fill="F4F6FA" w:color="auto" w:val="clear"/>
            <w:tcMar>
              <w:top w:type="dxa" w:w="140"/>
              <w:left w:type="dxa" w:w="80"/>
              <w:bottom w:type="dxa" w:w="140"/>
              <w:right w:type="dxa" w:w="80"/>
            </w:tcMar>
          </w:tcPr>
          <w:p>
            <w:pPr>
              <w:spacing w:after="40"/>
              <w:jc w:val="center"/>
            </w:pPr>
            <w:r>
              <w:rPr>
                <w:rFonts w:ascii="Arial" w:cs="Arial" w:eastAsia="Arial" w:hAnsi="Arial"/>
                <w:b/>
                <w:bCs/>
                <w:color w:val="800000"/>
                <w:sz w:val="36"/>
                <w:szCs w:val="36"/>
              </w:rPr>
              <w:t xml:space="preserve">100%</w:t>
            </w:r>
          </w:p>
          <w:p>
            <w:pPr>
              <w:spacing w:after="0"/>
              <w:jc w:val="center"/>
            </w:pPr>
            <w:r>
              <w:rPr>
                <w:rFonts w:ascii="Arial" w:cs="Arial" w:eastAsia="Arial" w:hAnsi="Arial"/>
                <w:color w:val="6B7280"/>
                <w:sz w:val="17"/>
                <w:szCs w:val="17"/>
              </w:rPr>
              <w:t xml:space="preserve">First Class delay rate</w:t>
            </w:r>
          </w:p>
        </w:tc>
        <w:tc>
          <w:tcPr>
            <w:tcW w:type="dxa" w:w="2258"/>
            <w:tcBorders>
              <w:top w:val="single" w:color="D0D7E2" w:sz="4"/>
              <w:left w:val="single" w:color="D0D7E2" w:sz="4"/>
              <w:bottom w:val="single" w:color="D0D7E2" w:sz="4"/>
              <w:right w:val="single" w:color="D0D7E2" w:sz="4"/>
            </w:tcBorders>
            <w:shd w:fill="F4F6FA" w:color="auto" w:val="clear"/>
            <w:tcMar>
              <w:top w:type="dxa" w:w="140"/>
              <w:left w:type="dxa" w:w="80"/>
              <w:bottom w:type="dxa" w:w="140"/>
              <w:right w:type="dxa" w:w="80"/>
            </w:tcMar>
          </w:tcPr>
          <w:p>
            <w:pPr>
              <w:spacing w:after="40"/>
              <w:jc w:val="center"/>
            </w:pPr>
            <w:r>
              <w:rPr>
                <w:rFonts w:ascii="Arial" w:cs="Arial" w:eastAsia="Arial" w:hAnsi="Arial"/>
                <w:b/>
                <w:bCs/>
                <w:color w:val="2A8C82"/>
                <w:sz w:val="36"/>
                <w:szCs w:val="36"/>
              </w:rPr>
              <w:t xml:space="preserve">74%</w:t>
            </w:r>
          </w:p>
          <w:p>
            <w:pPr>
              <w:spacing w:after="0"/>
              <w:jc w:val="center"/>
            </w:pPr>
            <w:r>
              <w:rPr>
                <w:rFonts w:ascii="Arial" w:cs="Arial" w:eastAsia="Arial" w:hAnsi="Arial"/>
                <w:color w:val="6B7280"/>
                <w:sz w:val="17"/>
                <w:szCs w:val="17"/>
              </w:rPr>
              <w:t xml:space="preserve">Predictive model accuracy</w:t>
            </w:r>
          </w:p>
        </w:tc>
      </w:tr>
    </w:tbl>
    <w:p>
      <w:pPr>
        <w:spacing w:after="40" w:before="900"/>
      </w:pPr>
      <w:r>
        <w:rPr>
          <w:rFonts w:ascii="Arial" w:cs="Arial" w:eastAsia="Arial" w:hAnsi="Arial"/>
          <w:b/>
          <w:bCs/>
          <w:color w:val="1F2937"/>
          <w:sz w:val="21"/>
          <w:szCs w:val="21"/>
        </w:rPr>
        <w:t xml:space="preserve">Prepared by: Data Analytics</w:t>
      </w:r>
    </w:p>
    <w:p>
      <w:pPr>
        <w:spacing w:after="40"/>
      </w:pPr>
      <w:r>
        <w:rPr>
          <w:rFonts w:ascii="Arial" w:cs="Arial" w:eastAsia="Arial" w:hAnsi="Arial"/>
          <w:color w:val="6B7280"/>
          <w:sz w:val="21"/>
          <w:szCs w:val="21"/>
        </w:rPr>
        <w:t xml:space="preserve">Report date: October 2026</w:t>
      </w:r>
    </w:p>
    <w:p>
      <w:pPr>
        <w:spacing w:after="40"/>
      </w:pPr>
      <w:r>
        <w:rPr>
          <w:rFonts w:ascii="Arial" w:cs="Arial" w:eastAsia="Arial" w:hAnsi="Arial"/>
          <w:color w:val="6B7280"/>
          <w:sz w:val="21"/>
          <w:szCs w:val="21"/>
        </w:rPr>
        <w:t xml:space="preserve">Source: DataCo Supply Chain Dataset (cleaned), Python / pandas / scikit-learn analysis</w:t>
      </w:r>
    </w:p>
    <w:p>
      <w:pPr>
        <w:pageBreakBefore/>
        <w:pBdr>
          <w:bottom w:val="single" w:color="2A8C82" w:sz="8" w:space="4"/>
        </w:pBdr>
        <w:spacing w:after="200"/>
      </w:pPr>
      <w:r>
        <w:rPr>
          <w:rFonts w:ascii="Arial" w:cs="Arial" w:eastAsia="Arial" w:hAnsi="Arial"/>
          <w:b/>
          <w:bCs/>
          <w:color w:val="1B2A4A"/>
          <w:sz w:val="36"/>
          <w:szCs w:val="36"/>
        </w:rPr>
        <w:t xml:space="preserve">Table of Contents</w:t>
      </w:r>
    </w:p>
    <w:p>
      <w:pPr>
        <w:tabs>
          <w:tab w:val="right" w:pos="9026" w:leader="dot"/>
        </w:tabs>
        <w:spacing w:after="110" w:before="50"/>
        <w:ind w:left="0"/>
      </w:pPr>
      <w:r>
        <w:rPr>
          <w:rFonts w:ascii="Arial" w:cs="Arial" w:eastAsia="Arial" w:hAnsi="Arial"/>
          <w:b/>
          <w:bCs/>
          <w:color w:val="1B2A4A"/>
          <w:sz w:val="22"/>
          <w:szCs w:val="22"/>
        </w:rPr>
        <w:t xml:space="preserve">1. Executive Summary	3</w:t>
      </w:r>
    </w:p>
    <w:p>
      <w:pPr>
        <w:tabs>
          <w:tab w:val="right" w:pos="9026" w:leader="dot"/>
        </w:tabs>
        <w:spacing w:after="110" w:before="50"/>
        <w:ind w:left="0"/>
      </w:pPr>
      <w:r>
        <w:rPr>
          <w:rFonts w:ascii="Arial" w:cs="Arial" w:eastAsia="Arial" w:hAnsi="Arial"/>
          <w:b/>
          <w:bCs/>
          <w:color w:val="1B2A4A"/>
          <w:sz w:val="22"/>
          <w:szCs w:val="22"/>
        </w:rPr>
        <w:t xml:space="preserve">2. Business Context &amp; Objectives	4</w:t>
      </w:r>
    </w:p>
    <w:p>
      <w:pPr>
        <w:tabs>
          <w:tab w:val="right" w:pos="9026" w:leader="dot"/>
        </w:tabs>
        <w:spacing w:after="110" w:before="50"/>
        <w:ind w:left="0"/>
      </w:pPr>
      <w:r>
        <w:rPr>
          <w:rFonts w:ascii="Arial" w:cs="Arial" w:eastAsia="Arial" w:hAnsi="Arial"/>
          <w:b/>
          <w:bCs/>
          <w:color w:val="1B2A4A"/>
          <w:sz w:val="22"/>
          <w:szCs w:val="22"/>
        </w:rPr>
        <w:t xml:space="preserve">3. Key Performance Indicators (KPIs)	5</w:t>
      </w:r>
    </w:p>
    <w:p>
      <w:pPr>
        <w:tabs>
          <w:tab w:val="right" w:pos="9026" w:leader="dot"/>
        </w:tabs>
        <w:spacing w:after="110" w:before="50"/>
        <w:ind w:left="0"/>
      </w:pPr>
      <w:r>
        <w:rPr>
          <w:rFonts w:ascii="Arial" w:cs="Arial" w:eastAsia="Arial" w:hAnsi="Arial"/>
          <w:b/>
          <w:bCs/>
          <w:color w:val="1B2A4A"/>
          <w:sz w:val="22"/>
          <w:szCs w:val="22"/>
        </w:rPr>
        <w:t xml:space="preserve">4. Profitability Analysis	6</w:t>
      </w:r>
    </w:p>
    <w:p>
      <w:pPr>
        <w:tabs>
          <w:tab w:val="right" w:pos="9026" w:leader="dot"/>
        </w:tabs>
        <w:spacing w:after="70" w:before="0"/>
        <w:ind w:left="500"/>
      </w:pPr>
      <w:r>
        <w:rPr>
          <w:rFonts w:ascii="Arial" w:cs="Arial" w:eastAsia="Arial" w:hAnsi="Arial"/>
          <w:b w:val="false"/>
          <w:bCs w:val="false"/>
          <w:color w:val="1F2937"/>
          <w:sz w:val="20"/>
          <w:szCs w:val="20"/>
        </w:rPr>
        <w:t xml:space="preserve">4.1 Profitability Distribution	6</w:t>
      </w:r>
    </w:p>
    <w:p>
      <w:pPr>
        <w:tabs>
          <w:tab w:val="right" w:pos="9026" w:leader="dot"/>
        </w:tabs>
        <w:spacing w:after="70" w:before="0"/>
        <w:ind w:left="500"/>
      </w:pPr>
      <w:r>
        <w:rPr>
          <w:rFonts w:ascii="Arial" w:cs="Arial" w:eastAsia="Arial" w:hAnsi="Arial"/>
          <w:b w:val="false"/>
          <w:bCs w:val="false"/>
          <w:color w:val="1F2937"/>
          <w:sz w:val="20"/>
          <w:szCs w:val="20"/>
        </w:rPr>
        <w:t xml:space="preserve">4.2 Delay Distribution &amp; Profit vs. Delay Days	7</w:t>
      </w:r>
    </w:p>
    <w:p>
      <w:pPr>
        <w:tabs>
          <w:tab w:val="right" w:pos="9026" w:leader="dot"/>
        </w:tabs>
        <w:spacing w:after="110" w:before="50"/>
        <w:ind w:left="0"/>
      </w:pPr>
      <w:r>
        <w:rPr>
          <w:rFonts w:ascii="Arial" w:cs="Arial" w:eastAsia="Arial" w:hAnsi="Arial"/>
          <w:b/>
          <w:bCs/>
          <w:color w:val="1B2A4A"/>
          <w:sz w:val="22"/>
          <w:szCs w:val="22"/>
        </w:rPr>
        <w:t xml:space="preserve">5. Bottleneck Detection	8</w:t>
      </w:r>
    </w:p>
    <w:p>
      <w:pPr>
        <w:tabs>
          <w:tab w:val="right" w:pos="9026" w:leader="dot"/>
        </w:tabs>
        <w:spacing w:after="110" w:before="50"/>
        <w:ind w:left="0"/>
      </w:pPr>
      <w:r>
        <w:rPr>
          <w:rFonts w:ascii="Arial" w:cs="Arial" w:eastAsia="Arial" w:hAnsi="Arial"/>
          <w:b/>
          <w:bCs/>
          <w:color w:val="1B2A4A"/>
          <w:sz w:val="22"/>
          <w:szCs w:val="22"/>
        </w:rPr>
        <w:t xml:space="preserve">6. Root Cause Analysis	10</w:t>
      </w:r>
    </w:p>
    <w:p>
      <w:pPr>
        <w:tabs>
          <w:tab w:val="right" w:pos="9026" w:leader="dot"/>
        </w:tabs>
        <w:spacing w:after="110" w:before="50"/>
        <w:ind w:left="0"/>
      </w:pPr>
      <w:r>
        <w:rPr>
          <w:rFonts w:ascii="Arial" w:cs="Arial" w:eastAsia="Arial" w:hAnsi="Arial"/>
          <w:b/>
          <w:bCs/>
          <w:color w:val="1B2A4A"/>
          <w:sz w:val="22"/>
          <w:szCs w:val="22"/>
        </w:rPr>
        <w:t xml:space="preserve">7. Time-Based Delay Patterns	11</w:t>
      </w:r>
    </w:p>
    <w:p>
      <w:pPr>
        <w:tabs>
          <w:tab w:val="right" w:pos="9026" w:leader="dot"/>
        </w:tabs>
        <w:spacing w:after="110" w:before="50"/>
        <w:ind w:left="0"/>
      </w:pPr>
      <w:r>
        <w:rPr>
          <w:rFonts w:ascii="Arial" w:cs="Arial" w:eastAsia="Arial" w:hAnsi="Arial"/>
          <w:b/>
          <w:bCs/>
          <w:color w:val="1B2A4A"/>
          <w:sz w:val="22"/>
          <w:szCs w:val="22"/>
        </w:rPr>
        <w:t xml:space="preserve">8. Machine Learning Model Results	12</w:t>
      </w:r>
    </w:p>
    <w:p>
      <w:pPr>
        <w:tabs>
          <w:tab w:val="right" w:pos="9026" w:leader="dot"/>
        </w:tabs>
        <w:spacing w:after="110" w:before="50"/>
        <w:ind w:left="0"/>
      </w:pPr>
      <w:r>
        <w:rPr>
          <w:rFonts w:ascii="Arial" w:cs="Arial" w:eastAsia="Arial" w:hAnsi="Arial"/>
          <w:b/>
          <w:bCs/>
          <w:color w:val="1B2A4A"/>
          <w:sz w:val="22"/>
          <w:szCs w:val="22"/>
        </w:rPr>
        <w:t xml:space="preserve">9. Strategic Recommendations	14</w:t>
      </w:r>
    </w:p>
    <w:p>
      <w:pPr>
        <w:tabs>
          <w:tab w:val="right" w:pos="9026" w:leader="dot"/>
        </w:tabs>
        <w:spacing w:after="110" w:before="50"/>
        <w:ind w:left="0"/>
      </w:pPr>
      <w:r>
        <w:rPr>
          <w:rFonts w:ascii="Arial" w:cs="Arial" w:eastAsia="Arial" w:hAnsi="Arial"/>
          <w:b/>
          <w:bCs/>
          <w:color w:val="1B2A4A"/>
          <w:sz w:val="22"/>
          <w:szCs w:val="22"/>
        </w:rPr>
        <w:t xml:space="preserve">10. Conclusion	16</w:t>
      </w:r>
    </w:p>
    <w:p>
      <w:pPr>
        <w:pStyle w:val="Heading1"/>
        <w:keepNext/>
        <w:pageBreakBefore/>
        <w:pBdr>
          <w:bottom w:val="single" w:color="2A8C82" w:sz="8" w:space="4"/>
        </w:pBdr>
        <w:spacing w:after="160" w:before="0"/>
      </w:pPr>
      <w:r>
        <w:rPr>
          <w:rFonts w:ascii="Arial" w:cs="Arial" w:eastAsia="Arial" w:hAnsi="Arial"/>
          <w:b/>
          <w:bCs/>
          <w:color w:val="1B2A4A"/>
          <w:sz w:val="36"/>
          <w:szCs w:val="36"/>
        </w:rPr>
        <w:t xml:space="preserve">1. Executive Summary</w:t>
      </w:r>
    </w:p>
    <w:p>
      <w:pPr>
        <w:keepLines/>
        <w:spacing w:after="120" w:before="0" w:line="276"/>
      </w:pPr>
      <w:r>
        <w:rPr>
          <w:rFonts w:ascii="Arial" w:cs="Arial" w:eastAsia="Arial" w:hAnsi="Arial"/>
          <w:color w:val="1F2937"/>
          <w:sz w:val="21"/>
          <w:szCs w:val="21"/>
        </w:rPr>
        <w:t xml:space="preserve">This report presents a comprehensive analysis of the delivery operations of a global e-commerce company managing end-to-end order fulfilment across multiple regions. The analysis covers 172,765 orders spanning January 2015 through January 2018, focusing on identifying root causes of chronic late deliveries, quantifying their financial impact, and establishing a data-driven framework for improvement.</w:t>
      </w:r>
    </w:p>
    <w:p>
      <w:pPr>
        <w:keepLines/>
        <w:spacing w:after="120" w:before="0" w:line="276"/>
      </w:pPr>
      <w:r>
        <w:rPr>
          <w:rFonts w:ascii="Arial" w:cs="Arial" w:eastAsia="Arial" w:hAnsi="Arial"/>
          <w:color w:val="1F2937"/>
          <w:sz w:val="21"/>
          <w:szCs w:val="21"/>
        </w:rPr>
        <w:t xml:space="preserve">The headline finding is stark: </w:t>
      </w:r>
      <w:r>
        <w:rPr>
          <w:rFonts w:ascii="Arial" w:cs="Arial" w:eastAsia="Arial" w:hAnsi="Arial"/>
          <w:color w:val="1F2937"/>
          <w:sz w:val="21"/>
          <w:szCs w:val="21"/>
        </w:rPr>
        <w:t xml:space="preserve">54.71% of all orders are delivered late. Orders that were delayed generated $2.1M in profit that is now under pressure, against $7.5M of total profit across profitable orders. The persistent late-delivery problem is therefore both a significant financial drain and a major customer-experience risk. A Random Forest predictive model achieved 74% accuracy in identifying at-risk orders before they become 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cantSplit/>
          <w:tblHeader/>
        </w:trPr>
        <w:tc>
          <w:tcPr>
            <w:tcW w:type="dxa" w:w="56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Key Finding</w:t>
            </w:r>
          </w:p>
        </w:tc>
        <w:tc>
          <w:tcPr>
            <w:tcW w:type="dxa" w:w="3426"/>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Metric</w:t>
            </w:r>
          </w:p>
        </w:tc>
      </w:tr>
      <w:tr>
        <w:trPr>
          <w:cantSplit/>
        </w:trPr>
        <w:tc>
          <w:tcPr>
            <w:tcW w:type="dxa" w:w="56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Overall Late Delivery Rate</w:t>
            </w:r>
          </w:p>
        </w:tc>
        <w:tc>
          <w:tcPr>
            <w:tcW w:type="dxa" w:w="34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2A8C82"/>
                <w:sz w:val="19"/>
                <w:szCs w:val="19"/>
              </w:rPr>
              <w:t xml:space="preserve">54.71%</w:t>
            </w:r>
          </w:p>
        </w:tc>
      </w:tr>
      <w:tr>
        <w:trPr>
          <w:cantSplit/>
        </w:trPr>
        <w:tc>
          <w:tcPr>
            <w:tcW w:type="dxa" w:w="56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On-Time Delivery Rate</w:t>
            </w:r>
          </w:p>
        </w:tc>
        <w:tc>
          <w:tcPr>
            <w:tcW w:type="dxa" w:w="34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2A8C82"/>
                <w:sz w:val="19"/>
                <w:szCs w:val="19"/>
              </w:rPr>
              <w:t xml:space="preserve">45.29%</w:t>
            </w:r>
          </w:p>
        </w:tc>
      </w:tr>
      <w:tr>
        <w:trPr>
          <w:cantSplit/>
        </w:trPr>
        <w:tc>
          <w:tcPr>
            <w:tcW w:type="dxa" w:w="56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Total Orders Analyzed</w:t>
            </w:r>
          </w:p>
        </w:tc>
        <w:tc>
          <w:tcPr>
            <w:tcW w:type="dxa" w:w="34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2A8C82"/>
                <w:sz w:val="19"/>
                <w:szCs w:val="19"/>
              </w:rPr>
              <w:t xml:space="preserve">172,765</w:t>
            </w:r>
          </w:p>
        </w:tc>
      </w:tr>
      <w:tr>
        <w:trPr>
          <w:cantSplit/>
        </w:trPr>
        <w:tc>
          <w:tcPr>
            <w:tcW w:type="dxa" w:w="56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Total Profit (profitable orders)</w:t>
            </w:r>
          </w:p>
        </w:tc>
        <w:tc>
          <w:tcPr>
            <w:tcW w:type="dxa" w:w="34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2A8C82"/>
                <w:sz w:val="19"/>
                <w:szCs w:val="19"/>
              </w:rPr>
              <w:t xml:space="preserve">$7.5M</w:t>
            </w:r>
          </w:p>
        </w:tc>
      </w:tr>
      <w:tr>
        <w:trPr>
          <w:cantSplit/>
        </w:trPr>
        <w:tc>
          <w:tcPr>
            <w:tcW w:type="dxa" w:w="56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Profit at Risk (delayed orders)</w:t>
            </w:r>
          </w:p>
        </w:tc>
        <w:tc>
          <w:tcPr>
            <w:tcW w:type="dxa" w:w="34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2A8C82"/>
                <w:sz w:val="19"/>
                <w:szCs w:val="19"/>
              </w:rPr>
              <w:t xml:space="preserve">$2.1M</w:t>
            </w:r>
          </w:p>
        </w:tc>
      </w:tr>
      <w:tr>
        <w:trPr>
          <w:cantSplit/>
        </w:trPr>
        <w:tc>
          <w:tcPr>
            <w:tcW w:type="dxa" w:w="56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Predictive Model Accuracy (RF)</w:t>
            </w:r>
          </w:p>
        </w:tc>
        <w:tc>
          <w:tcPr>
            <w:tcW w:type="dxa" w:w="34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2A8C82"/>
                <w:sz w:val="19"/>
                <w:szCs w:val="19"/>
              </w:rPr>
              <w:t xml:space="preserve">74%</w:t>
            </w:r>
          </w:p>
        </w:tc>
      </w:tr>
      <w:tr>
        <w:trPr>
          <w:cantSplit/>
        </w:trPr>
        <w:tc>
          <w:tcPr>
            <w:tcW w:type="dxa" w:w="56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First Class / Second Class delay rate</w:t>
            </w:r>
          </w:p>
        </w:tc>
        <w:tc>
          <w:tcPr>
            <w:tcW w:type="dxa" w:w="34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800000"/>
                <w:sz w:val="19"/>
                <w:szCs w:val="19"/>
              </w:rPr>
              <w:t xml:space="preserve">100.0% / 79.8%</w:t>
            </w:r>
          </w:p>
        </w:tc>
      </w:tr>
      <w:tr>
        <w:trPr>
          <w:cantSplit/>
        </w:trPr>
        <w:tc>
          <w:tcPr>
            <w:tcW w:type="dxa" w:w="56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Loss-making orders</w:t>
            </w:r>
          </w:p>
        </w:tc>
        <w:tc>
          <w:tcPr>
            <w:tcW w:type="dxa" w:w="34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800000"/>
                <w:sz w:val="19"/>
                <w:szCs w:val="19"/>
              </w:rPr>
              <w:t xml:space="preserve">18.7%</w:t>
            </w:r>
          </w:p>
        </w:tc>
      </w:tr>
    </w:tbl>
    <w:p>
      <w:pPr>
        <w:spacing w:after="160"/>
      </w:pPr>
    </w:p>
    <w:p>
      <w:pPr>
        <w:keepNext/>
        <w:spacing w:after="80" w:before="180"/>
      </w:pPr>
      <w:r>
        <w:rPr>
          <w:rFonts w:ascii="Arial" w:cs="Arial" w:eastAsia="Arial" w:hAnsi="Arial"/>
          <w:b/>
          <w:bCs/>
          <w:color w:val="1B2A4A"/>
          <w:sz w:val="22"/>
          <w:szCs w:val="22"/>
        </w:rPr>
        <w:t xml:space="preserve">What the data tells us</w:t>
      </w:r>
    </w:p>
    <w:p>
      <w:pPr>
        <w:pStyle w:val="ListParagraph"/>
        <w:keepLines/>
        <w:numPr>
          <w:ilvl w:val="0"/>
          <w:numId w:val="2"/>
        </w:numPr>
        <w:spacing w:after="70" w:line="270"/>
      </w:pPr>
      <w:r>
        <w:rPr>
          <w:rFonts w:ascii="Arial" w:cs="Arial" w:eastAsia="Arial" w:hAnsi="Arial"/>
          <w:b/>
          <w:bCs/>
          <w:color w:val="1F2937"/>
          <w:sz w:val="21"/>
          <w:szCs w:val="21"/>
        </w:rPr>
        <w:t xml:space="preserve">Shipping mode is the dominant driver. </w:t>
      </w:r>
      <w:r>
        <w:rPr>
          <w:rFonts w:ascii="Arial" w:cs="Arial" w:eastAsia="Arial" w:hAnsi="Arial"/>
          <w:color w:val="1F2937"/>
          <w:sz w:val="21"/>
          <w:szCs w:val="21"/>
        </w:rPr>
        <w:t xml:space="preserve">Delay rates range from 0% (Same Day) to 100% (First Class). Every other dimension tested (region, segment, department, payment type, order status) moves the delay rate by only 1–4 percentage points.</w:t>
      </w:r>
    </w:p>
    <w:p>
      <w:pPr>
        <w:pStyle w:val="ListParagraph"/>
        <w:keepLines/>
        <w:numPr>
          <w:ilvl w:val="0"/>
          <w:numId w:val="2"/>
        </w:numPr>
        <w:spacing w:after="70" w:line="270"/>
      </w:pPr>
      <w:r>
        <w:rPr>
          <w:rFonts w:ascii="Arial" w:cs="Arial" w:eastAsia="Arial" w:hAnsi="Arial"/>
          <w:b/>
          <w:bCs/>
          <w:color w:val="1F2937"/>
          <w:sz w:val="21"/>
          <w:szCs w:val="21"/>
        </w:rPr>
        <w:t xml:space="preserve">The premium modes contradict their promise. </w:t>
      </w:r>
      <w:r>
        <w:rPr>
          <w:rFonts w:ascii="Arial" w:cs="Arial" w:eastAsia="Arial" w:hAnsi="Arial"/>
          <w:color w:val="1F2937"/>
          <w:sz w:val="21"/>
          <w:szCs w:val="21"/>
        </w:rPr>
        <w:t xml:space="preserve">First Class and Second Class make up about 35% of orders but roughly 57% of all late deliveries.</w:t>
      </w:r>
    </w:p>
    <w:p>
      <w:pPr>
        <w:pStyle w:val="ListParagraph"/>
        <w:keepLines/>
        <w:numPr>
          <w:ilvl w:val="0"/>
          <w:numId w:val="2"/>
        </w:numPr>
        <w:spacing w:after="70" w:line="270"/>
      </w:pPr>
      <w:r>
        <w:rPr>
          <w:rFonts w:ascii="Arial" w:cs="Arial" w:eastAsia="Arial" w:hAnsi="Arial"/>
          <w:b/>
          <w:bCs/>
          <w:color w:val="1F2937"/>
          <w:sz w:val="21"/>
          <w:szCs w:val="21"/>
        </w:rPr>
        <w:t xml:space="preserve">Delays are a volume problem, not a unit-economics problem. </w:t>
      </w:r>
      <w:r>
        <w:rPr>
          <w:rFonts w:ascii="Arial" w:cs="Arial" w:eastAsia="Arial" w:hAnsi="Arial"/>
          <w:color w:val="1F2937"/>
          <w:sz w:val="21"/>
          <w:szCs w:val="21"/>
        </w:rPr>
        <w:t xml:space="preserve">Mean profit per order stays at about $20–$23 across all delay levels, so reducing the number of late orders is the highest-leverage fix.</w:t>
      </w:r>
    </w:p>
    <w:p>
      <w:pPr>
        <w:pStyle w:val="ListParagraph"/>
        <w:keepLines/>
        <w:numPr>
          <w:ilvl w:val="0"/>
          <w:numId w:val="2"/>
        </w:numPr>
        <w:spacing w:after="70" w:line="270"/>
      </w:pPr>
      <w:r>
        <w:rPr>
          <w:rFonts w:ascii="Arial" w:cs="Arial" w:eastAsia="Arial" w:hAnsi="Arial"/>
          <w:b/>
          <w:bCs/>
          <w:color w:val="1F2937"/>
          <w:sz w:val="21"/>
          <w:szCs w:val="21"/>
        </w:rPr>
        <w:t xml:space="preserve">The pattern is systemic. </w:t>
      </w:r>
      <w:r>
        <w:rPr>
          <w:rFonts w:ascii="Arial" w:cs="Arial" w:eastAsia="Arial" w:hAnsi="Arial"/>
          <w:color w:val="1F2937"/>
          <w:sz w:val="21"/>
          <w:szCs w:val="21"/>
        </w:rPr>
        <w:t xml:space="preserve">The 90th-percentile delay is only 3 days, and delay rates are flat across months, weekdays and hours (roughly 52–57%), which points to process design rather than isolated incidents.</w:t>
      </w:r>
    </w:p>
    <w:p>
      <w:pPr>
        <w:pStyle w:val="ListParagraph"/>
        <w:keepLines/>
        <w:numPr>
          <w:ilvl w:val="0"/>
          <w:numId w:val="2"/>
        </w:numPr>
        <w:spacing w:after="70" w:line="270"/>
      </w:pPr>
      <w:r>
        <w:rPr>
          <w:rFonts w:ascii="Arial" w:cs="Arial" w:eastAsia="Arial" w:hAnsi="Arial"/>
          <w:b/>
          <w:bCs/>
          <w:color w:val="1F2937"/>
          <w:sz w:val="21"/>
          <w:szCs w:val="21"/>
        </w:rPr>
        <w:t xml:space="preserve">The problem is predictable. </w:t>
      </w:r>
      <w:r>
        <w:rPr>
          <w:rFonts w:ascii="Arial" w:cs="Arial" w:eastAsia="Arial" w:hAnsi="Arial"/>
          <w:color w:val="1F2937"/>
          <w:sz w:val="21"/>
          <w:szCs w:val="21"/>
        </w:rPr>
        <w:t xml:space="preserve">A first-generation model flags 75% of late orders with 79% precision, using only data available at order confirmation.</w:t>
      </w:r>
    </w:p>
    <w:p>
      <w:pPr>
        <w:pStyle w:val="Heading1"/>
        <w:keepNext/>
        <w:pageBreakBefore/>
        <w:pBdr>
          <w:bottom w:val="single" w:color="2A8C82" w:sz="8" w:space="4"/>
        </w:pBdr>
        <w:spacing w:after="160" w:before="0"/>
      </w:pPr>
      <w:r>
        <w:rPr>
          <w:rFonts w:ascii="Arial" w:cs="Arial" w:eastAsia="Arial" w:hAnsi="Arial"/>
          <w:b/>
          <w:bCs/>
          <w:color w:val="1B2A4A"/>
          <w:sz w:val="36"/>
          <w:szCs w:val="36"/>
        </w:rPr>
        <w:t xml:space="preserve">2. Business Context &amp; Objectives</w:t>
      </w:r>
    </w:p>
    <w:p>
      <w:pPr>
        <w:keepLines/>
        <w:spacing w:after="120" w:before="0" w:line="276"/>
      </w:pPr>
      <w:r>
        <w:rPr>
          <w:rFonts w:ascii="Arial" w:cs="Arial" w:eastAsia="Arial" w:hAnsi="Arial"/>
          <w:color w:val="1F2937"/>
          <w:sz w:val="21"/>
          <w:szCs w:val="21"/>
        </w:rPr>
        <w:t xml:space="preserve">The company operates a global e-commerce platform selling products across categories including sporting goods, fitness equipment, outdoor gear, footwear, and apparel across multiple international regions. It manages shipping and delivery end to end, so inconsistent delivery performance directly affects customer trust, repeat purchase behaviour and order profitability.</w:t>
      </w:r>
    </w:p>
    <w:p>
      <w:pPr>
        <w:keepLines/>
        <w:spacing w:after="120" w:before="0" w:line="276"/>
      </w:pPr>
      <w:r>
        <w:rPr>
          <w:rFonts w:ascii="Arial" w:cs="Arial" w:eastAsia="Arial" w:hAnsi="Arial"/>
          <w:color w:val="1F2937"/>
          <w:sz w:val="21"/>
          <w:szCs w:val="21"/>
        </w:rPr>
        <w:t xml:space="preserve">Actual shipping times frequently deviate from the scheduled timelines promised to customers, leading to late deliveries and unpredictable order profitability.</w:t>
      </w:r>
    </w:p>
    <w:p>
      <w:pPr>
        <w:keepNext/>
        <w:spacing w:after="80" w:before="180"/>
      </w:pPr>
      <w:r>
        <w:rPr>
          <w:rFonts w:ascii="Arial" w:cs="Arial" w:eastAsia="Arial" w:hAnsi="Arial"/>
          <w:b/>
          <w:bCs/>
          <w:color w:val="1B2A4A"/>
          <w:sz w:val="22"/>
          <w:szCs w:val="22"/>
        </w:rPr>
        <w:t xml:space="preserve">Objectives</w:t>
      </w:r>
    </w:p>
    <w:p>
      <w:pPr>
        <w:pStyle w:val="ListParagraph"/>
        <w:keepLines/>
        <w:numPr>
          <w:ilvl w:val="0"/>
          <w:numId w:val="2"/>
        </w:numPr>
        <w:spacing w:after="70" w:line="270"/>
      </w:pPr>
      <w:r>
        <w:rPr>
          <w:rFonts w:ascii="Arial" w:cs="Arial" w:eastAsia="Arial" w:hAnsi="Arial"/>
          <w:color w:val="1F2937"/>
          <w:sz w:val="21"/>
          <w:szCs w:val="21"/>
        </w:rPr>
        <w:t xml:space="preserve">Analyse delivery operations and quantify the scale of late deliveries.</w:t>
      </w:r>
    </w:p>
    <w:p>
      <w:pPr>
        <w:pStyle w:val="ListParagraph"/>
        <w:keepLines/>
        <w:numPr>
          <w:ilvl w:val="0"/>
          <w:numId w:val="2"/>
        </w:numPr>
        <w:spacing w:after="70" w:line="270"/>
      </w:pPr>
      <w:r>
        <w:rPr>
          <w:rFonts w:ascii="Arial" w:cs="Arial" w:eastAsia="Arial" w:hAnsi="Arial"/>
          <w:color w:val="1F2937"/>
          <w:sz w:val="21"/>
          <w:szCs w:val="21"/>
        </w:rPr>
        <w:t xml:space="preserve">Identify operational bottlenecks and root causes across region, shipping mode, segment, department, payment type and time.</w:t>
      </w:r>
    </w:p>
    <w:p>
      <w:pPr>
        <w:pStyle w:val="ListParagraph"/>
        <w:keepLines/>
        <w:numPr>
          <w:ilvl w:val="0"/>
          <w:numId w:val="2"/>
        </w:numPr>
        <w:spacing w:after="70" w:line="270"/>
      </w:pPr>
      <w:r>
        <w:rPr>
          <w:rFonts w:ascii="Arial" w:cs="Arial" w:eastAsia="Arial" w:hAnsi="Arial"/>
          <w:color w:val="1F2937"/>
          <w:sz w:val="21"/>
          <w:szCs w:val="21"/>
        </w:rPr>
        <w:t xml:space="preserve">Measure the link between delivery delays and order profitability.</w:t>
      </w:r>
    </w:p>
    <w:p>
      <w:pPr>
        <w:pStyle w:val="ListParagraph"/>
        <w:keepLines/>
        <w:numPr>
          <w:ilvl w:val="0"/>
          <w:numId w:val="2"/>
        </w:numPr>
        <w:spacing w:after="70" w:line="270"/>
      </w:pPr>
      <w:r>
        <w:rPr>
          <w:rFonts w:ascii="Arial" w:cs="Arial" w:eastAsia="Arial" w:hAnsi="Arial"/>
          <w:color w:val="1F2937"/>
          <w:sz w:val="21"/>
          <w:szCs w:val="21"/>
        </w:rPr>
        <w:t xml:space="preserve">Build a predictive system that flags at-risk orders early, so the business can reduce delays, optimise shipping decisions and improve profitability.</w:t>
      </w:r>
    </w:p>
    <w:p>
      <w:pPr>
        <w:keepNext/>
        <w:spacing w:after="80" w:before="180"/>
      </w:pPr>
      <w:r>
        <w:rPr>
          <w:rFonts w:ascii="Arial" w:cs="Arial" w:eastAsia="Arial" w:hAnsi="Arial"/>
          <w:b/>
          <w:bCs/>
          <w:color w:val="1B2A4A"/>
          <w:sz w:val="22"/>
          <w:szCs w:val="22"/>
        </w:rPr>
        <w:t xml:space="preserve">Data and methodology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Step</w:t>
            </w:r>
          </w:p>
        </w:tc>
        <w:tc>
          <w:tcPr>
            <w:tcW w:type="dxa" w:w="6826"/>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Detail</w:t>
            </w:r>
          </w:p>
        </w:tc>
      </w:tr>
      <w:tr>
        <w:trPr>
          <w:cantSplit/>
        </w:trPr>
        <w:tc>
          <w:tcPr>
            <w:tcW w:type="dxa" w:w="22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Raw dataset</w:t>
            </w:r>
          </w:p>
        </w:tc>
        <w:tc>
          <w:tcPr>
            <w:tcW w:type="dxa" w:w="68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180,519 rows × 53 columns (DataCo Supply Chain Dataset); no duplicate rows.</w:t>
            </w:r>
          </w:p>
        </w:tc>
      </w:tr>
      <w:tr>
        <w:trPr>
          <w:cantSplit/>
        </w:trPr>
        <w:tc>
          <w:tcPr>
            <w:tcW w:type="dxa" w:w="22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Missing data</w:t>
            </w:r>
          </w:p>
        </w:tc>
        <w:tc>
          <w:tcPr>
            <w:tcW w:type="dxa" w:w="68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Product Description 100% missing; Order Zipcode 155,679 missing (86%); Customer Lname 8 and Customer Zipcode 3 missing.</w:t>
            </w:r>
          </w:p>
        </w:tc>
      </w:tr>
      <w:tr>
        <w:trPr>
          <w:cantSplit/>
        </w:trPr>
        <w:tc>
          <w:tcPr>
            <w:tcW w:type="dxa" w:w="22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Columns removed</w:t>
            </w:r>
          </w:p>
        </w:tc>
        <w:tc>
          <w:tcPr>
            <w:tcW w:type="dxa" w:w="68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33 columns dropped: personal data (email, password, names, street), identifiers, empty or redundant fields, and low-value geography.</w:t>
            </w:r>
          </w:p>
        </w:tc>
      </w:tr>
      <w:tr>
        <w:trPr>
          <w:cantSplit/>
        </w:trPr>
        <w:tc>
          <w:tcPr>
            <w:tcW w:type="dxa" w:w="22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Rows removed</w:t>
            </w:r>
          </w:p>
        </w:tc>
        <w:tc>
          <w:tcPr>
            <w:tcW w:type="dxa" w:w="68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7,754 orders with status "Shipping canceled" excluded, since they do not represent completed delivery behaviour. Final dataset: 172,765 rows × 20 columns.</w:t>
            </w:r>
          </w:p>
        </w:tc>
      </w:tr>
      <w:tr>
        <w:trPr>
          <w:cantSplit/>
        </w:trPr>
        <w:tc>
          <w:tcPr>
            <w:tcW w:type="dxa" w:w="22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Order period</w:t>
            </w:r>
          </w:p>
        </w:tc>
        <w:tc>
          <w:tcPr>
            <w:tcW w:type="dxa" w:w="68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1 January 2015 to 31 January 2018 (order dates); last shipping date 6 February 2018.</w:t>
            </w:r>
          </w:p>
        </w:tc>
      </w:tr>
      <w:tr>
        <w:trPr>
          <w:cantSplit/>
        </w:trPr>
        <w:tc>
          <w:tcPr>
            <w:tcW w:type="dxa" w:w="22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Derived metrics</w:t>
            </w:r>
          </w:p>
        </w:tc>
        <w:tc>
          <w:tcPr>
            <w:tcW w:type="dxa" w:w="68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Order Processing Time = shipping date − order date (days). Delay = processing time − scheduled days. Late order = Delay &gt; 0. Profitability flag from Order Profit Per Order (profit / break-even / loss).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rPr>
        <w:tc>
          <w:tcPr>
            <w:tcW w:type="dxa" w:w="2500"/>
            <w:tcBorders>
              <w:top w:val="single" w:color="F0A30A" w:sz="4"/>
              <w:left w:val="single" w:color="F0A30A" w:sz="18"/>
              <w:bottom w:val="single" w:color="F0A30A" w:sz="4"/>
              <w:right w:val="none" w:color="FFFFFF" w:sz="0"/>
            </w:tcBorders>
            <w:tcMar>
              <w:top w:type="dxa" w:w="90"/>
              <w:left w:type="dxa" w:w="130"/>
              <w:bottom w:type="dxa" w:w="90"/>
              <w:right w:type="dxa" w:w="90"/>
            </w:tcMar>
          </w:tcPr>
          <w:p>
            <w:pPr>
              <w:spacing w:after="0"/>
            </w:pPr>
            <w:r>
              <w:rPr>
                <w:rFonts w:ascii="Arial" w:cs="Arial" w:eastAsia="Arial" w:hAnsi="Arial"/>
                <w:b/>
                <w:bCs/>
                <w:color w:val="1B2A4A"/>
                <w:sz w:val="20"/>
                <w:szCs w:val="20"/>
              </w:rPr>
              <w:t xml:space="preserve">● Two definitions of "late"</w:t>
            </w:r>
          </w:p>
        </w:tc>
        <w:tc>
          <w:tcPr>
            <w:tcW w:type="dxa" w:w="6526"/>
            <w:tcBorders>
              <w:top w:val="single" w:color="F0A30A" w:sz="4"/>
              <w:left w:val="single" w:color="F0A30A" w:sz="4"/>
              <w:bottom w:val="single" w:color="F0A30A" w:sz="4"/>
              <w:right w:val="single" w:color="F0A30A" w:sz="4"/>
            </w:tcBorders>
            <w:tcMar>
              <w:top w:type="dxa" w:w="90"/>
              <w:left w:type="dxa" w:w="130"/>
              <w:bottom w:type="dxa" w:w="90"/>
              <w:right w:type="dxa" w:w="110"/>
            </w:tcMar>
          </w:tcPr>
          <w:p>
            <w:pPr>
              <w:spacing w:after="0" w:line="260"/>
            </w:pPr>
            <w:r>
              <w:rPr>
                <w:rFonts w:ascii="Arial" w:cs="Arial" w:eastAsia="Arial" w:hAnsi="Arial"/>
                <w:color w:val="1F2937"/>
                <w:sz w:val="19"/>
                <w:szCs w:val="19"/>
              </w:rPr>
              <w:t xml:space="preserve">The headline late rate (54.71%, 94,523 orders) uses the computed definition Delay &gt; 0. The source system’s own flag, Late_delivery_risk, marks 98,977 orders (57.29%) as late and is the target used for the predictive model. The two are close but not identical; all KPIs in this report use the computed definition unless stated.</w:t>
            </w:r>
          </w:p>
        </w:tc>
      </w:tr>
    </w:tbl>
    <w:p>
      <w:pPr>
        <w:pStyle w:val="Heading1"/>
        <w:keepNext/>
        <w:pageBreakBefore/>
        <w:pBdr>
          <w:bottom w:val="single" w:color="2A8C82" w:sz="8" w:space="4"/>
        </w:pBdr>
        <w:spacing w:after="160" w:before="0"/>
      </w:pPr>
      <w:r>
        <w:rPr>
          <w:rFonts w:ascii="Arial" w:cs="Arial" w:eastAsia="Arial" w:hAnsi="Arial"/>
          <w:b/>
          <w:bCs/>
          <w:color w:val="1B2A4A"/>
          <w:sz w:val="36"/>
          <w:szCs w:val="36"/>
        </w:rPr>
        <w:t xml:space="preserve">3. Key Performance Indicators (KPIs)</w:t>
      </w:r>
    </w:p>
    <w:p>
      <w:pPr>
        <w:keepLines/>
        <w:spacing w:after="120" w:before="0" w:line="276"/>
      </w:pPr>
      <w:r>
        <w:rPr>
          <w:rFonts w:ascii="Arial" w:cs="Arial" w:eastAsia="Arial" w:hAnsi="Arial"/>
          <w:color w:val="1F2937"/>
          <w:sz w:val="21"/>
          <w:szCs w:val="21"/>
        </w:rPr>
        <w:t xml:space="preserve">The following KPIs were computed directly from the cleaned dataset to establish a performance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rPr>
        <w:tc>
          <w:tcPr>
            <w:tcW w:type="dxa" w:w="2256"/>
            <w:tcBorders>
              <w:top w:val="single" w:color="D0D7E2" w:sz="4"/>
              <w:left w:val="single" w:color="D0D7E2" w:sz="4"/>
              <w:bottom w:val="single" w:color="D0D7E2" w:sz="4"/>
              <w:right w:val="single" w:color="D0D7E2" w:sz="4"/>
            </w:tcBorders>
            <w:shd w:fill="F4F6FA" w:color="auto" w:val="clear"/>
            <w:tcMar>
              <w:top w:type="dxa" w:w="140"/>
              <w:left w:type="dxa" w:w="80"/>
              <w:bottom w:type="dxa" w:w="140"/>
              <w:right w:type="dxa" w:w="80"/>
            </w:tcMar>
          </w:tcPr>
          <w:p>
            <w:pPr>
              <w:spacing w:after="40"/>
              <w:jc w:val="center"/>
            </w:pPr>
            <w:r>
              <w:rPr>
                <w:rFonts w:ascii="Arial" w:cs="Arial" w:eastAsia="Arial" w:hAnsi="Arial"/>
                <w:b/>
                <w:bCs/>
                <w:color w:val="1B2A4A"/>
                <w:sz w:val="36"/>
                <w:szCs w:val="36"/>
              </w:rPr>
              <w:t xml:space="preserve">172,765</w:t>
            </w:r>
          </w:p>
          <w:p>
            <w:pPr>
              <w:spacing w:after="0"/>
              <w:jc w:val="center"/>
            </w:pPr>
            <w:r>
              <w:rPr>
                <w:rFonts w:ascii="Arial" w:cs="Arial" w:eastAsia="Arial" w:hAnsi="Arial"/>
                <w:color w:val="6B7280"/>
                <w:sz w:val="17"/>
                <w:szCs w:val="17"/>
              </w:rPr>
              <w:t xml:space="preserve">Total Orders</w:t>
            </w:r>
          </w:p>
        </w:tc>
        <w:tc>
          <w:tcPr>
            <w:tcW w:type="dxa" w:w="2256"/>
            <w:tcBorders>
              <w:top w:val="single" w:color="D0D7E2" w:sz="4"/>
              <w:left w:val="single" w:color="D0D7E2" w:sz="4"/>
              <w:bottom w:val="single" w:color="D0D7E2" w:sz="4"/>
              <w:right w:val="single" w:color="D0D7E2" w:sz="4"/>
            </w:tcBorders>
            <w:shd w:fill="F4F6FA" w:color="auto" w:val="clear"/>
            <w:tcMar>
              <w:top w:type="dxa" w:w="140"/>
              <w:left w:type="dxa" w:w="80"/>
              <w:bottom w:type="dxa" w:w="140"/>
              <w:right w:type="dxa" w:w="80"/>
            </w:tcMar>
          </w:tcPr>
          <w:p>
            <w:pPr>
              <w:spacing w:after="40"/>
              <w:jc w:val="center"/>
            </w:pPr>
            <w:r>
              <w:rPr>
                <w:rFonts w:ascii="Arial" w:cs="Arial" w:eastAsia="Arial" w:hAnsi="Arial"/>
                <w:b/>
                <w:bCs/>
                <w:color w:val="800000"/>
                <w:sz w:val="36"/>
                <w:szCs w:val="36"/>
              </w:rPr>
              <w:t xml:space="preserve">94,523</w:t>
            </w:r>
          </w:p>
          <w:p>
            <w:pPr>
              <w:spacing w:after="0"/>
              <w:jc w:val="center"/>
            </w:pPr>
            <w:r>
              <w:rPr>
                <w:rFonts w:ascii="Arial" w:cs="Arial" w:eastAsia="Arial" w:hAnsi="Arial"/>
                <w:color w:val="6B7280"/>
                <w:sz w:val="17"/>
                <w:szCs w:val="17"/>
              </w:rPr>
              <w:t xml:space="preserve">Late Deliveries</w:t>
            </w:r>
          </w:p>
        </w:tc>
        <w:tc>
          <w:tcPr>
            <w:tcW w:type="dxa" w:w="2256"/>
            <w:tcBorders>
              <w:top w:val="single" w:color="D0D7E2" w:sz="4"/>
              <w:left w:val="single" w:color="D0D7E2" w:sz="4"/>
              <w:bottom w:val="single" w:color="D0D7E2" w:sz="4"/>
              <w:right w:val="single" w:color="D0D7E2" w:sz="4"/>
            </w:tcBorders>
            <w:shd w:fill="F4F6FA" w:color="auto" w:val="clear"/>
            <w:tcMar>
              <w:top w:type="dxa" w:w="140"/>
              <w:left w:type="dxa" w:w="80"/>
              <w:bottom w:type="dxa" w:w="140"/>
              <w:right w:type="dxa" w:w="80"/>
            </w:tcMar>
          </w:tcPr>
          <w:p>
            <w:pPr>
              <w:spacing w:after="40"/>
              <w:jc w:val="center"/>
            </w:pPr>
            <w:r>
              <w:rPr>
                <w:rFonts w:ascii="Arial" w:cs="Arial" w:eastAsia="Arial" w:hAnsi="Arial"/>
                <w:b/>
                <w:bCs/>
                <w:color w:val="800000"/>
                <w:sz w:val="36"/>
                <w:szCs w:val="36"/>
              </w:rPr>
              <w:t xml:space="preserve">54.71%</w:t>
            </w:r>
          </w:p>
          <w:p>
            <w:pPr>
              <w:spacing w:after="0"/>
              <w:jc w:val="center"/>
            </w:pPr>
            <w:r>
              <w:rPr>
                <w:rFonts w:ascii="Arial" w:cs="Arial" w:eastAsia="Arial" w:hAnsi="Arial"/>
                <w:color w:val="6B7280"/>
                <w:sz w:val="17"/>
                <w:szCs w:val="17"/>
              </w:rPr>
              <w:t xml:space="preserve">Late Delivery %</w:t>
            </w:r>
          </w:p>
        </w:tc>
        <w:tc>
          <w:tcPr>
            <w:tcW w:type="dxa" w:w="2258"/>
            <w:tcBorders>
              <w:top w:val="single" w:color="D0D7E2" w:sz="4"/>
              <w:left w:val="single" w:color="D0D7E2" w:sz="4"/>
              <w:bottom w:val="single" w:color="D0D7E2" w:sz="4"/>
              <w:right w:val="single" w:color="D0D7E2" w:sz="4"/>
            </w:tcBorders>
            <w:shd w:fill="F4F6FA" w:color="auto" w:val="clear"/>
            <w:tcMar>
              <w:top w:type="dxa" w:w="140"/>
              <w:left w:type="dxa" w:w="80"/>
              <w:bottom w:type="dxa" w:w="140"/>
              <w:right w:type="dxa" w:w="80"/>
            </w:tcMar>
          </w:tcPr>
          <w:p>
            <w:pPr>
              <w:spacing w:after="40"/>
              <w:jc w:val="center"/>
            </w:pPr>
            <w:r>
              <w:rPr>
                <w:rFonts w:ascii="Arial" w:cs="Arial" w:eastAsia="Arial" w:hAnsi="Arial"/>
                <w:b/>
                <w:bCs/>
                <w:color w:val="2A8C82"/>
                <w:sz w:val="36"/>
                <w:szCs w:val="36"/>
              </w:rPr>
              <w:t xml:space="preserve">45.29%</w:t>
            </w:r>
          </w:p>
          <w:p>
            <w:pPr>
              <w:spacing w:after="0"/>
              <w:jc w:val="center"/>
            </w:pPr>
            <w:r>
              <w:rPr>
                <w:rFonts w:ascii="Arial" w:cs="Arial" w:eastAsia="Arial" w:hAnsi="Arial"/>
                <w:color w:val="6B7280"/>
                <w:sz w:val="17"/>
                <w:szCs w:val="17"/>
              </w:rPr>
              <w:t xml:space="preserve">On-Time Delivery %</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rPr>
        <w:tc>
          <w:tcPr>
            <w:tcW w:type="dxa" w:w="2256"/>
            <w:tcBorders>
              <w:top w:val="single" w:color="D0D7E2" w:sz="4"/>
              <w:left w:val="single" w:color="D0D7E2" w:sz="4"/>
              <w:bottom w:val="single" w:color="D0D7E2" w:sz="4"/>
              <w:right w:val="single" w:color="D0D7E2" w:sz="4"/>
            </w:tcBorders>
            <w:shd w:fill="F4F6FA" w:color="auto" w:val="clear"/>
            <w:tcMar>
              <w:top w:type="dxa" w:w="140"/>
              <w:left w:type="dxa" w:w="80"/>
              <w:bottom w:type="dxa" w:w="140"/>
              <w:right w:type="dxa" w:w="80"/>
            </w:tcMar>
          </w:tcPr>
          <w:p>
            <w:pPr>
              <w:spacing w:after="40"/>
              <w:jc w:val="center"/>
            </w:pPr>
            <w:r>
              <w:rPr>
                <w:rFonts w:ascii="Arial" w:cs="Arial" w:eastAsia="Arial" w:hAnsi="Arial"/>
                <w:b/>
                <w:bCs/>
                <w:color w:val="1B2A4A"/>
                <w:sz w:val="36"/>
                <w:szCs w:val="36"/>
              </w:rPr>
              <w:t xml:space="preserve">$7.5M</w:t>
            </w:r>
          </w:p>
          <w:p>
            <w:pPr>
              <w:spacing w:after="0"/>
              <w:jc w:val="center"/>
            </w:pPr>
            <w:r>
              <w:rPr>
                <w:rFonts w:ascii="Arial" w:cs="Arial" w:eastAsia="Arial" w:hAnsi="Arial"/>
                <w:color w:val="6B7280"/>
                <w:sz w:val="17"/>
                <w:szCs w:val="17"/>
              </w:rPr>
              <w:t xml:space="preserve">Total Profit (profitable orders)</w:t>
            </w:r>
          </w:p>
        </w:tc>
        <w:tc>
          <w:tcPr>
            <w:tcW w:type="dxa" w:w="2256"/>
            <w:tcBorders>
              <w:top w:val="single" w:color="D0D7E2" w:sz="4"/>
              <w:left w:val="single" w:color="D0D7E2" w:sz="4"/>
              <w:bottom w:val="single" w:color="D0D7E2" w:sz="4"/>
              <w:right w:val="single" w:color="D0D7E2" w:sz="4"/>
            </w:tcBorders>
            <w:shd w:fill="F4F6FA" w:color="auto" w:val="clear"/>
            <w:tcMar>
              <w:top w:type="dxa" w:w="140"/>
              <w:left w:type="dxa" w:w="80"/>
              <w:bottom w:type="dxa" w:w="140"/>
              <w:right w:type="dxa" w:w="80"/>
            </w:tcMar>
          </w:tcPr>
          <w:p>
            <w:pPr>
              <w:spacing w:after="40"/>
              <w:jc w:val="center"/>
            </w:pPr>
            <w:r>
              <w:rPr>
                <w:rFonts w:ascii="Arial" w:cs="Arial" w:eastAsia="Arial" w:hAnsi="Arial"/>
                <w:b/>
                <w:bCs/>
                <w:color w:val="800000"/>
                <w:sz w:val="36"/>
                <w:szCs w:val="36"/>
              </w:rPr>
              <w:t xml:space="preserve">$2.1M</w:t>
            </w:r>
          </w:p>
          <w:p>
            <w:pPr>
              <w:spacing w:after="0"/>
              <w:jc w:val="center"/>
            </w:pPr>
            <w:r>
              <w:rPr>
                <w:rFonts w:ascii="Arial" w:cs="Arial" w:eastAsia="Arial" w:hAnsi="Arial"/>
                <w:color w:val="6B7280"/>
                <w:sz w:val="17"/>
                <w:szCs w:val="17"/>
              </w:rPr>
              <w:t xml:space="preserve">Profit at Risk (delayed orders)</w:t>
            </w:r>
          </w:p>
        </w:tc>
        <w:tc>
          <w:tcPr>
            <w:tcW w:type="dxa" w:w="2256"/>
            <w:tcBorders>
              <w:top w:val="single" w:color="D0D7E2" w:sz="4"/>
              <w:left w:val="single" w:color="D0D7E2" w:sz="4"/>
              <w:bottom w:val="single" w:color="D0D7E2" w:sz="4"/>
              <w:right w:val="single" w:color="D0D7E2" w:sz="4"/>
            </w:tcBorders>
            <w:shd w:fill="F4F6FA" w:color="auto" w:val="clear"/>
            <w:tcMar>
              <w:top w:type="dxa" w:w="140"/>
              <w:left w:type="dxa" w:w="80"/>
              <w:bottom w:type="dxa" w:w="140"/>
              <w:right w:type="dxa" w:w="80"/>
            </w:tcMar>
          </w:tcPr>
          <w:p>
            <w:pPr>
              <w:spacing w:after="40"/>
              <w:jc w:val="center"/>
            </w:pPr>
            <w:r>
              <w:rPr>
                <w:rFonts w:ascii="Arial" w:cs="Arial" w:eastAsia="Arial" w:hAnsi="Arial"/>
                <w:b/>
                <w:bCs/>
                <w:color w:val="1B2A4A"/>
                <w:sz w:val="36"/>
                <w:szCs w:val="36"/>
              </w:rPr>
              <w:t xml:space="preserve">3 days</w:t>
            </w:r>
          </w:p>
          <w:p>
            <w:pPr>
              <w:spacing w:after="0"/>
              <w:jc w:val="center"/>
            </w:pPr>
            <w:r>
              <w:rPr>
                <w:rFonts w:ascii="Arial" w:cs="Arial" w:eastAsia="Arial" w:hAnsi="Arial"/>
                <w:color w:val="6B7280"/>
                <w:sz w:val="17"/>
                <w:szCs w:val="17"/>
              </w:rPr>
              <w:t xml:space="preserve">90th Percentile Delay</w:t>
            </w:r>
          </w:p>
        </w:tc>
        <w:tc>
          <w:tcPr>
            <w:tcW w:type="dxa" w:w="2258"/>
            <w:tcBorders>
              <w:top w:val="single" w:color="D0D7E2" w:sz="4"/>
              <w:left w:val="single" w:color="D0D7E2" w:sz="4"/>
              <w:bottom w:val="single" w:color="D0D7E2" w:sz="4"/>
              <w:right w:val="single" w:color="D0D7E2" w:sz="4"/>
            </w:tcBorders>
            <w:shd w:fill="F4F6FA" w:color="auto" w:val="clear"/>
            <w:tcMar>
              <w:top w:type="dxa" w:w="140"/>
              <w:left w:type="dxa" w:w="80"/>
              <w:bottom w:type="dxa" w:w="140"/>
              <w:right w:type="dxa" w:w="80"/>
            </w:tcMar>
          </w:tcPr>
          <w:p>
            <w:pPr>
              <w:spacing w:after="40"/>
              <w:jc w:val="center"/>
            </w:pPr>
            <w:r>
              <w:rPr>
                <w:rFonts w:ascii="Arial" w:cs="Arial" w:eastAsia="Arial" w:hAnsi="Arial"/>
                <w:b/>
                <w:bCs/>
                <w:color w:val="2A8C82"/>
                <w:sz w:val="36"/>
                <w:szCs w:val="36"/>
              </w:rPr>
              <w:t xml:space="preserve">$22.03</w:t>
            </w:r>
          </w:p>
          <w:p>
            <w:pPr>
              <w:spacing w:after="0"/>
              <w:jc w:val="center"/>
            </w:pPr>
            <w:r>
              <w:rPr>
                <w:rFonts w:ascii="Arial" w:cs="Arial" w:eastAsia="Arial" w:hAnsi="Arial"/>
                <w:color w:val="6B7280"/>
                <w:sz w:val="17"/>
                <w:szCs w:val="17"/>
              </w:rPr>
              <w:t xml:space="preserve">Mean Profit per Order</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rPr>
        <w:tc>
          <w:tcPr>
            <w:tcW w:type="dxa" w:w="2500"/>
            <w:tcBorders>
              <w:top w:val="single" w:color="2A8C82" w:sz="4"/>
              <w:left w:val="single" w:color="2A8C82" w:sz="18"/>
              <w:bottom w:val="single" w:color="2A8C82" w:sz="4"/>
              <w:right w:val="none" w:color="FFFFFF" w:sz="0"/>
            </w:tcBorders>
            <w:tcMar>
              <w:top w:type="dxa" w:w="90"/>
              <w:left w:type="dxa" w:w="130"/>
              <w:bottom w:type="dxa" w:w="90"/>
              <w:right w:type="dxa" w:w="90"/>
            </w:tcMar>
          </w:tcPr>
          <w:p>
            <w:pPr>
              <w:spacing w:after="0"/>
            </w:pPr>
            <w:r>
              <w:rPr>
                <w:rFonts w:ascii="Arial" w:cs="Arial" w:eastAsia="Arial" w:hAnsi="Arial"/>
                <w:b/>
                <w:bCs/>
                <w:color w:val="1B2A4A"/>
                <w:sz w:val="20"/>
                <w:szCs w:val="20"/>
              </w:rPr>
              <w:t xml:space="preserve">● Late Delivery Rate at 54.71%</w:t>
            </w:r>
          </w:p>
        </w:tc>
        <w:tc>
          <w:tcPr>
            <w:tcW w:type="dxa" w:w="6526"/>
            <w:tcBorders>
              <w:top w:val="single" w:color="2A8C82" w:sz="4"/>
              <w:left w:val="single" w:color="2A8C82" w:sz="4"/>
              <w:bottom w:val="single" w:color="2A8C82" w:sz="4"/>
              <w:right w:val="single" w:color="2A8C82" w:sz="4"/>
            </w:tcBorders>
            <w:tcMar>
              <w:top w:type="dxa" w:w="90"/>
              <w:left w:type="dxa" w:w="130"/>
              <w:bottom w:type="dxa" w:w="90"/>
              <w:right w:type="dxa" w:w="110"/>
            </w:tcMar>
          </w:tcPr>
          <w:p>
            <w:pPr>
              <w:spacing w:after="0" w:line="260"/>
            </w:pPr>
            <w:r>
              <w:rPr>
                <w:rFonts w:ascii="Arial" w:cs="Arial" w:eastAsia="Arial" w:hAnsi="Arial"/>
                <w:color w:val="1F2937"/>
                <w:sz w:val="19"/>
                <w:szCs w:val="19"/>
              </w:rPr>
              <w:t xml:space="preserve">More than half of all orders arrive late. This is not an edge-case problem — it is the default experience for the majority of customers.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rPr>
        <w:tc>
          <w:tcPr>
            <w:tcW w:type="dxa" w:w="2500"/>
            <w:tcBorders>
              <w:top w:val="single" w:color="2A8C82" w:sz="4"/>
              <w:left w:val="single" w:color="2A8C82" w:sz="18"/>
              <w:bottom w:val="single" w:color="2A8C82" w:sz="4"/>
              <w:right w:val="none" w:color="FFFFFF" w:sz="0"/>
            </w:tcBorders>
            <w:tcMar>
              <w:top w:type="dxa" w:w="90"/>
              <w:left w:type="dxa" w:w="130"/>
              <w:bottom w:type="dxa" w:w="90"/>
              <w:right w:type="dxa" w:w="90"/>
            </w:tcMar>
          </w:tcPr>
          <w:p>
            <w:pPr>
              <w:spacing w:after="0"/>
            </w:pPr>
            <w:r>
              <w:rPr>
                <w:rFonts w:ascii="Arial" w:cs="Arial" w:eastAsia="Arial" w:hAnsi="Arial"/>
                <w:b/>
                <w:bCs/>
                <w:color w:val="1B2A4A"/>
                <w:sz w:val="20"/>
                <w:szCs w:val="20"/>
              </w:rPr>
              <w:t xml:space="preserve">● $2.1M Profit at Risk</w:t>
            </w:r>
          </w:p>
        </w:tc>
        <w:tc>
          <w:tcPr>
            <w:tcW w:type="dxa" w:w="6526"/>
            <w:tcBorders>
              <w:top w:val="single" w:color="2A8C82" w:sz="4"/>
              <w:left w:val="single" w:color="2A8C82" w:sz="4"/>
              <w:bottom w:val="single" w:color="2A8C82" w:sz="4"/>
              <w:right w:val="single" w:color="2A8C82" w:sz="4"/>
            </w:tcBorders>
            <w:tcMar>
              <w:top w:type="dxa" w:w="90"/>
              <w:left w:type="dxa" w:w="130"/>
              <w:bottom w:type="dxa" w:w="90"/>
              <w:right w:type="dxa" w:w="110"/>
            </w:tcMar>
          </w:tcPr>
          <w:p>
            <w:pPr>
              <w:spacing w:after="0" w:line="260"/>
            </w:pPr>
            <w:r>
              <w:rPr>
                <w:rFonts w:ascii="Arial" w:cs="Arial" w:eastAsia="Arial" w:hAnsi="Arial"/>
                <w:color w:val="1F2937"/>
                <w:sz w:val="19"/>
                <w:szCs w:val="19"/>
              </w:rPr>
              <w:t xml:space="preserve">Orders that experienced delays collectively generated $2.1M in profit (about 54% of the $3.81M net profit across all orders) that is under constant pressure from further operational deterioration.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rPr>
        <w:tc>
          <w:tcPr>
            <w:tcW w:type="dxa" w:w="2500"/>
            <w:tcBorders>
              <w:top w:val="single" w:color="2A8C82" w:sz="4"/>
              <w:left w:val="single" w:color="2A8C82" w:sz="18"/>
              <w:bottom w:val="single" w:color="2A8C82" w:sz="4"/>
              <w:right w:val="none" w:color="FFFFFF" w:sz="0"/>
            </w:tcBorders>
            <w:tcMar>
              <w:top w:type="dxa" w:w="90"/>
              <w:left w:type="dxa" w:w="130"/>
              <w:bottom w:type="dxa" w:w="90"/>
              <w:right w:type="dxa" w:w="90"/>
            </w:tcMar>
          </w:tcPr>
          <w:p>
            <w:pPr>
              <w:spacing w:after="0"/>
            </w:pPr>
            <w:r>
              <w:rPr>
                <w:rFonts w:ascii="Arial" w:cs="Arial" w:eastAsia="Arial" w:hAnsi="Arial"/>
                <w:b/>
                <w:bCs/>
                <w:color w:val="1B2A4A"/>
                <w:sz w:val="20"/>
                <w:szCs w:val="20"/>
              </w:rPr>
              <w:t xml:space="preserve">● 90th Percentile Delay = 3 Days</w:t>
            </w:r>
          </w:p>
        </w:tc>
        <w:tc>
          <w:tcPr>
            <w:tcW w:type="dxa" w:w="6526"/>
            <w:tcBorders>
              <w:top w:val="single" w:color="2A8C82" w:sz="4"/>
              <w:left w:val="single" w:color="2A8C82" w:sz="4"/>
              <w:bottom w:val="single" w:color="2A8C82" w:sz="4"/>
              <w:right w:val="single" w:color="2A8C82" w:sz="4"/>
            </w:tcBorders>
            <w:tcMar>
              <w:top w:type="dxa" w:w="90"/>
              <w:left w:type="dxa" w:w="130"/>
              <w:bottom w:type="dxa" w:w="90"/>
              <w:right w:type="dxa" w:w="110"/>
            </w:tcMar>
          </w:tcPr>
          <w:p>
            <w:pPr>
              <w:spacing w:after="0" w:line="260"/>
            </w:pPr>
            <w:r>
              <w:rPr>
                <w:rFonts w:ascii="Arial" w:cs="Arial" w:eastAsia="Arial" w:hAnsi="Arial"/>
                <w:color w:val="1F2937"/>
                <w:sz w:val="19"/>
                <w:szCs w:val="19"/>
              </w:rPr>
              <w:t xml:space="preserve">Even the most extreme cases are contained within 3 days of lateness, suggesting the problem is systemic and process-driven rather than catastrophic.</w:t>
            </w:r>
          </w:p>
        </w:tc>
      </w:tr>
    </w:tbl>
    <w:p>
      <w:pPr>
        <w:spacing w:after="160"/>
      </w:pPr>
    </w:p>
    <w:p>
      <w:pPr>
        <w:keepNext/>
        <w:spacing w:after="80" w:before="180"/>
      </w:pPr>
      <w:r>
        <w:rPr>
          <w:rFonts w:ascii="Arial" w:cs="Arial" w:eastAsia="Arial" w:hAnsi="Arial"/>
          <w:b/>
          <w:bCs/>
          <w:color w:val="1B2A4A"/>
          <w:sz w:val="22"/>
          <w:szCs w:val="22"/>
        </w:rPr>
        <w:t xml:space="preserve">How to read the profit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326"/>
      </w:tblGrid>
      <w:tr>
        <w:trPr>
          <w:cantSplit/>
          <w:tblHeader/>
        </w:trPr>
        <w:tc>
          <w:tcPr>
            <w:tcW w:type="dxa" w:w="30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Measure</w:t>
            </w:r>
          </w:p>
        </w:tc>
        <w:tc>
          <w:tcPr>
            <w:tcW w:type="dxa" w:w="17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Value</w:t>
            </w:r>
          </w:p>
        </w:tc>
        <w:tc>
          <w:tcPr>
            <w:tcW w:type="dxa" w:w="4326"/>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Definition</w:t>
            </w:r>
          </w:p>
        </w:tc>
      </w:tr>
      <w:tr>
        <w:trPr>
          <w:cantSplit/>
        </w:trPr>
        <w:tc>
          <w:tcPr>
            <w:tcW w:type="dxa" w:w="3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Total profit (profitable orders)</w:t>
            </w:r>
          </w:p>
        </w:tc>
        <w:tc>
          <w:tcPr>
            <w:tcW w:type="dxa" w:w="17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$7.5M</w:t>
            </w:r>
          </w:p>
        </w:tc>
        <w:tc>
          <w:tcPr>
            <w:tcW w:type="dxa" w:w="43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Sum of Order Profit Per Order for orders with profit &gt; 0 (gross of losses).</w:t>
            </w:r>
          </w:p>
        </w:tc>
      </w:tr>
      <w:tr>
        <w:trPr>
          <w:cantSplit/>
        </w:trPr>
        <w:tc>
          <w:tcPr>
            <w:tcW w:type="dxa" w:w="30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Net profit, all orders</w:t>
            </w:r>
          </w:p>
        </w:tc>
        <w:tc>
          <w:tcPr>
            <w:tcW w:type="dxa" w:w="17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$3.81M</w:t>
            </w:r>
          </w:p>
        </w:tc>
        <w:tc>
          <w:tcPr>
            <w:tcW w:type="dxa" w:w="43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Sum across all 172,765 orders, after loss-making orders are netted off.</w:t>
            </w:r>
          </w:p>
        </w:tc>
      </w:tr>
      <w:tr>
        <w:trPr>
          <w:cantSplit/>
        </w:trPr>
        <w:tc>
          <w:tcPr>
            <w:tcW w:type="dxa" w:w="3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Implied loss on loss-making orders</w:t>
            </w:r>
          </w:p>
        </w:tc>
        <w:tc>
          <w:tcPr>
            <w:tcW w:type="dxa" w:w="17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 $3.7M</w:t>
            </w:r>
          </w:p>
        </w:tc>
        <w:tc>
          <w:tcPr>
            <w:tcW w:type="dxa" w:w="43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$7.5M gross profit minus $3.81M net profit; 32,295 orders.</w:t>
            </w:r>
          </w:p>
        </w:tc>
      </w:tr>
      <w:tr>
        <w:trPr>
          <w:cantSplit/>
        </w:trPr>
        <w:tc>
          <w:tcPr>
            <w:tcW w:type="dxa" w:w="30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Profit at risk (delayed orders)</w:t>
            </w:r>
          </w:p>
        </w:tc>
        <w:tc>
          <w:tcPr>
            <w:tcW w:type="dxa" w:w="17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$2.06M (≈ $2.1M)</w:t>
            </w:r>
          </w:p>
        </w:tc>
        <w:tc>
          <w:tcPr>
            <w:tcW w:type="dxa" w:w="43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Net profit of the 94,523 delayed orders (Delay &gt; 0).</w:t>
            </w:r>
          </w:p>
        </w:tc>
      </w:tr>
    </w:tbl>
    <w:p>
      <w:pPr>
        <w:pStyle w:val="Heading1"/>
        <w:keepNext/>
        <w:pageBreakBefore/>
        <w:pBdr>
          <w:bottom w:val="single" w:color="2A8C82" w:sz="8" w:space="4"/>
        </w:pBdr>
        <w:spacing w:after="160" w:before="0"/>
      </w:pPr>
      <w:r>
        <w:rPr>
          <w:rFonts w:ascii="Arial" w:cs="Arial" w:eastAsia="Arial" w:hAnsi="Arial"/>
          <w:b/>
          <w:bCs/>
          <w:color w:val="1B2A4A"/>
          <w:sz w:val="36"/>
          <w:szCs w:val="36"/>
        </w:rPr>
        <w:t xml:space="preserve">4. Profitability Analysis</w:t>
      </w:r>
    </w:p>
    <w:p>
      <w:pPr>
        <w:pStyle w:val="Heading2"/>
        <w:keepNext/>
        <w:spacing w:after="100" w:before="260"/>
      </w:pPr>
      <w:r>
        <w:rPr>
          <w:rFonts w:ascii="Arial" w:cs="Arial" w:eastAsia="Arial" w:hAnsi="Arial"/>
          <w:b/>
          <w:bCs/>
          <w:color w:val="2A8C82"/>
          <w:sz w:val="27"/>
          <w:szCs w:val="27"/>
        </w:rPr>
        <w:t xml:space="preserve">4.1 Profitability Distribution</w:t>
      </w:r>
    </w:p>
    <w:p>
      <w:pPr>
        <w:keepLines/>
        <w:spacing w:after="120" w:before="0" w:line="276"/>
      </w:pPr>
      <w:r>
        <w:rPr>
          <w:rFonts w:ascii="Arial" w:cs="Arial" w:eastAsia="Arial" w:hAnsi="Arial"/>
          <w:color w:val="1F2937"/>
          <w:sz w:val="21"/>
          <w:szCs w:val="21"/>
        </w:rPr>
        <w:t xml:space="preserve">Order-level profitability was classified into three tiers based on Order Profit Per Order. While 80.7% of orders are profitable, the 18.7% loss-making share is a meaningful drag on margin: these 32,295 orders erase roughly half of the gross profit earned on profitable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cantSplit/>
          <w:tblHeader/>
        </w:trPr>
        <w:tc>
          <w:tcPr>
            <w:tcW w:type="dxa" w:w="40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Tier</w:t>
            </w:r>
          </w:p>
        </w:tc>
        <w:tc>
          <w:tcPr>
            <w:tcW w:type="dxa" w:w="25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9"/>
                <w:szCs w:val="19"/>
              </w:rPr>
              <w:t xml:space="preserve">Orders</w:t>
            </w:r>
          </w:p>
        </w:tc>
        <w:tc>
          <w:tcPr>
            <w:tcW w:type="dxa" w:w="2526"/>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9"/>
                <w:szCs w:val="19"/>
              </w:rPr>
              <w:t xml:space="preserve">Share of orders</w:t>
            </w:r>
          </w:p>
        </w:tc>
      </w:tr>
      <w:tr>
        <w:trPr>
          <w:cantSplit/>
        </w:trPr>
        <w:tc>
          <w:tcPr>
            <w:tcW w:type="dxa" w:w="4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Profit (&gt; $0)</w:t>
            </w:r>
          </w:p>
        </w:tc>
        <w:tc>
          <w:tcPr>
            <w:tcW w:type="dxa" w:w="2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139,354</w:t>
            </w:r>
          </w:p>
        </w:tc>
        <w:tc>
          <w:tcPr>
            <w:tcW w:type="dxa" w:w="25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80.7%</w:t>
            </w:r>
          </w:p>
        </w:tc>
      </w:tr>
      <w:tr>
        <w:trPr>
          <w:cantSplit/>
        </w:trPr>
        <w:tc>
          <w:tcPr>
            <w:tcW w:type="dxa" w:w="40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Loss (&lt; $0)</w:t>
            </w:r>
          </w:p>
        </w:tc>
        <w:tc>
          <w:tcPr>
            <w:tcW w:type="dxa" w:w="25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32,295</w:t>
            </w:r>
          </w:p>
        </w:tc>
        <w:tc>
          <w:tcPr>
            <w:tcW w:type="dxa" w:w="25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18.7%</w:t>
            </w:r>
          </w:p>
        </w:tc>
      </w:tr>
      <w:tr>
        <w:trPr>
          <w:cantSplit/>
        </w:trPr>
        <w:tc>
          <w:tcPr>
            <w:tcW w:type="dxa" w:w="4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Break-even ($0)</w:t>
            </w:r>
          </w:p>
        </w:tc>
        <w:tc>
          <w:tcPr>
            <w:tcW w:type="dxa" w:w="2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1,116</w:t>
            </w:r>
          </w:p>
        </w:tc>
        <w:tc>
          <w:tcPr>
            <w:tcW w:type="dxa" w:w="25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0.6%</w:t>
            </w:r>
          </w:p>
        </w:tc>
      </w:tr>
    </w:tbl>
    <w:p>
      <w:pPr>
        <w:keepNext/>
        <w:spacing w:after="60" w:before="80"/>
        <w:jc w:val="center"/>
      </w:pPr>
      <w:r>
        <w:drawing>
          <wp:inline distT="0" distB="0" distL="0" distR="0">
            <wp:extent cx="3429000" cy="3190875"/>
            <wp:effectExtent t="0" r="0" b="0" l="0"/>
            <wp:docPr id="1" name="cell14.png" descr="Figure 1: Profitability distribution (% of orders)" title="Figure 1: Profitability distribution (% of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3190875"/>
                    </a:xfrm>
                    <a:prstGeom prst="rect">
                      <a:avLst/>
                    </a:prstGeom>
                  </pic:spPr>
                </pic:pic>
              </a:graphicData>
            </a:graphic>
          </wp:inline>
        </w:drawing>
      </w:r>
    </w:p>
    <w:p>
      <w:pPr>
        <w:spacing w:after="160"/>
        <w:jc w:val="center"/>
      </w:pPr>
      <w:r>
        <w:rPr>
          <w:rFonts w:ascii="Arial" w:cs="Arial" w:eastAsia="Arial" w:hAnsi="Arial"/>
          <w:i/>
          <w:iCs/>
          <w:color w:val="6B7280"/>
          <w:sz w:val="18"/>
          <w:szCs w:val="18"/>
        </w:rPr>
        <w:t xml:space="preserve">Figure 1: Profitability distribution (% of orders)</w:t>
      </w:r>
    </w:p>
    <w:p>
      <w:pPr>
        <w:keepLines/>
        <w:spacing w:after="120" w:before="0" w:line="276"/>
      </w:pPr>
      <w:r>
        <w:rPr>
          <w:rFonts w:ascii="Arial" w:cs="Arial" w:eastAsia="Arial" w:hAnsi="Arial"/>
          <w:color w:val="1F2937"/>
          <w:sz w:val="21"/>
          <w:szCs w:val="21"/>
        </w:rPr>
        <w:t xml:space="preserve">Order profit is highly skewed: the median profit per order is $31.52 but the mean is only $22.03, pulled down by a long loss tail (the worst single order lost $4,275, while the best earned $912). The bottom quartile earns $7.03 or less. A review of the extreme loss cases and of discount and pricing rules is recommended (see Recommendation 7).</w:t>
      </w:r>
    </w:p>
    <w:p>
      <w:pPr>
        <w:pStyle w:val="Heading2"/>
        <w:keepNext/>
        <w:pageBreakBefore/>
        <w:spacing w:after="100" w:before="260"/>
      </w:pPr>
      <w:r>
        <w:rPr>
          <w:rFonts w:ascii="Arial" w:cs="Arial" w:eastAsia="Arial" w:hAnsi="Arial"/>
          <w:b/>
          <w:bCs/>
          <w:color w:val="2A8C82"/>
          <w:sz w:val="27"/>
          <w:szCs w:val="27"/>
        </w:rPr>
        <w:t xml:space="preserve">4.2 Delay Distribution &amp; Profit vs. Delay Days</w:t>
      </w:r>
    </w:p>
    <w:p>
      <w:pPr>
        <w:keepLines/>
        <w:spacing w:after="120" w:before="0" w:line="276"/>
      </w:pPr>
      <w:r>
        <w:rPr>
          <w:rFonts w:ascii="Arial" w:cs="Arial" w:eastAsia="Arial" w:hAnsi="Arial"/>
          <w:color w:val="1F2937"/>
          <w:sz w:val="21"/>
          <w:szCs w:val="21"/>
        </w:rPr>
        <w:t xml:space="preserve">The delay distribution shows that 31.0% of all orders arrive exactly 1 day late — the single largest cohort. Combined, orders delayed by 1–4 days account for 54.7% of all order volume, directly mapping to the overall late delivery 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900"/>
        <w:gridCol w:w="1826"/>
      </w:tblGrid>
      <w:tr>
        <w:trPr>
          <w:cantSplit/>
          <w:tblHeader/>
        </w:trPr>
        <w:tc>
          <w:tcPr>
            <w:tcW w:type="dxa" w:w="23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Delay (days)</w:t>
            </w:r>
          </w:p>
        </w:tc>
        <w:tc>
          <w:tcPr>
            <w:tcW w:type="dxa" w:w="15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9"/>
                <w:szCs w:val="19"/>
              </w:rPr>
              <w:t xml:space="preserve">Orders</w:t>
            </w:r>
          </w:p>
        </w:tc>
        <w:tc>
          <w:tcPr>
            <w:tcW w:type="dxa" w:w="15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9"/>
                <w:szCs w:val="19"/>
              </w:rPr>
              <w:t xml:space="preserve">% of orders</w:t>
            </w:r>
          </w:p>
        </w:tc>
        <w:tc>
          <w:tcPr>
            <w:tcW w:type="dxa" w:w="19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9"/>
                <w:szCs w:val="19"/>
              </w:rPr>
              <w:t xml:space="preserve">Total profit</w:t>
            </w:r>
          </w:p>
        </w:tc>
        <w:tc>
          <w:tcPr>
            <w:tcW w:type="dxa" w:w="1826"/>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9"/>
                <w:szCs w:val="19"/>
              </w:rPr>
              <w:t xml:space="preserve">Mean profit / order</w:t>
            </w:r>
          </w:p>
        </w:tc>
      </w:tr>
      <w:tr>
        <w:trPr>
          <w:cantSplit/>
        </w:trPr>
        <w:tc>
          <w:tcPr>
            <w:tcW w:type="dxa" w:w="23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−2 (early)</w:t>
            </w:r>
          </w:p>
        </w:tc>
        <w:tc>
          <w:tcPr>
            <w:tcW w:type="dxa" w:w="1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20,873</w:t>
            </w:r>
          </w:p>
        </w:tc>
        <w:tc>
          <w:tcPr>
            <w:tcW w:type="dxa" w:w="1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12.1%</w:t>
            </w:r>
          </w:p>
        </w:tc>
        <w:tc>
          <w:tcPr>
            <w:tcW w:type="dxa" w:w="1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$487,596</w:t>
            </w:r>
          </w:p>
        </w:tc>
        <w:tc>
          <w:tcPr>
            <w:tcW w:type="dxa" w:w="18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$23.36</w:t>
            </w:r>
          </w:p>
        </w:tc>
      </w:tr>
      <w:tr>
        <w:trPr>
          <w:cantSplit/>
        </w:trPr>
        <w:tc>
          <w:tcPr>
            <w:tcW w:type="dxa" w:w="23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−1 (early)</w:t>
            </w:r>
          </w:p>
        </w:tc>
        <w:tc>
          <w:tcPr>
            <w:tcW w:type="dxa" w:w="15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20,719</w:t>
            </w:r>
          </w:p>
        </w:tc>
        <w:tc>
          <w:tcPr>
            <w:tcW w:type="dxa" w:w="15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12.0%</w:t>
            </w:r>
          </w:p>
        </w:tc>
        <w:tc>
          <w:tcPr>
            <w:tcW w:type="dxa" w:w="19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$447,629</w:t>
            </w:r>
          </w:p>
        </w:tc>
        <w:tc>
          <w:tcPr>
            <w:tcW w:type="dxa" w:w="18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$21.60</w:t>
            </w:r>
          </w:p>
        </w:tc>
      </w:tr>
      <w:tr>
        <w:trPr>
          <w:cantSplit/>
        </w:trPr>
        <w:tc>
          <w:tcPr>
            <w:tcW w:type="dxa" w:w="23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0 (on time)</w:t>
            </w:r>
          </w:p>
        </w:tc>
        <w:tc>
          <w:tcPr>
            <w:tcW w:type="dxa" w:w="1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36,650</w:t>
            </w:r>
          </w:p>
        </w:tc>
        <w:tc>
          <w:tcPr>
            <w:tcW w:type="dxa" w:w="1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21.2%</w:t>
            </w:r>
          </w:p>
        </w:tc>
        <w:tc>
          <w:tcPr>
            <w:tcW w:type="dxa" w:w="1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$815,430</w:t>
            </w:r>
          </w:p>
        </w:tc>
        <w:tc>
          <w:tcPr>
            <w:tcW w:type="dxa" w:w="18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$22.25</w:t>
            </w:r>
          </w:p>
        </w:tc>
      </w:tr>
      <w:tr>
        <w:trPr>
          <w:cantSplit/>
        </w:trPr>
        <w:tc>
          <w:tcPr>
            <w:tcW w:type="dxa" w:w="23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800000"/>
                <w:sz w:val="19"/>
                <w:szCs w:val="19"/>
              </w:rPr>
              <w:t xml:space="preserve">+1</w:t>
            </w:r>
          </w:p>
        </w:tc>
        <w:tc>
          <w:tcPr>
            <w:tcW w:type="dxa" w:w="15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53,503</w:t>
            </w:r>
          </w:p>
        </w:tc>
        <w:tc>
          <w:tcPr>
            <w:tcW w:type="dxa" w:w="15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31.0%</w:t>
            </w:r>
          </w:p>
        </w:tc>
        <w:tc>
          <w:tcPr>
            <w:tcW w:type="dxa" w:w="19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$1,194,895</w:t>
            </w:r>
          </w:p>
        </w:tc>
        <w:tc>
          <w:tcPr>
            <w:tcW w:type="dxa" w:w="18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$22.33</w:t>
            </w:r>
          </w:p>
        </w:tc>
      </w:tr>
      <w:tr>
        <w:trPr>
          <w:cantSplit/>
        </w:trPr>
        <w:tc>
          <w:tcPr>
            <w:tcW w:type="dxa" w:w="23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800000"/>
                <w:sz w:val="19"/>
                <w:szCs w:val="19"/>
              </w:rPr>
              <w:t xml:space="preserve">+2</w:t>
            </w:r>
          </w:p>
        </w:tc>
        <w:tc>
          <w:tcPr>
            <w:tcW w:type="dxa" w:w="1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27,551</w:t>
            </w:r>
          </w:p>
        </w:tc>
        <w:tc>
          <w:tcPr>
            <w:tcW w:type="dxa" w:w="1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15.9%</w:t>
            </w:r>
          </w:p>
        </w:tc>
        <w:tc>
          <w:tcPr>
            <w:tcW w:type="dxa" w:w="1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$582,111</w:t>
            </w:r>
          </w:p>
        </w:tc>
        <w:tc>
          <w:tcPr>
            <w:tcW w:type="dxa" w:w="18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$21.13</w:t>
            </w:r>
          </w:p>
        </w:tc>
      </w:tr>
      <w:tr>
        <w:trPr>
          <w:cantSplit/>
        </w:trPr>
        <w:tc>
          <w:tcPr>
            <w:tcW w:type="dxa" w:w="23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800000"/>
                <w:sz w:val="19"/>
                <w:szCs w:val="19"/>
              </w:rPr>
              <w:t xml:space="preserve">+3</w:t>
            </w:r>
          </w:p>
        </w:tc>
        <w:tc>
          <w:tcPr>
            <w:tcW w:type="dxa" w:w="15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6,772</w:t>
            </w:r>
          </w:p>
        </w:tc>
        <w:tc>
          <w:tcPr>
            <w:tcW w:type="dxa" w:w="15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3.9%</w:t>
            </w:r>
          </w:p>
        </w:tc>
        <w:tc>
          <w:tcPr>
            <w:tcW w:type="dxa" w:w="19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$135,653</w:t>
            </w:r>
          </w:p>
        </w:tc>
        <w:tc>
          <w:tcPr>
            <w:tcW w:type="dxa" w:w="18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$20.03</w:t>
            </w:r>
          </w:p>
        </w:tc>
      </w:tr>
      <w:tr>
        <w:trPr>
          <w:cantSplit/>
        </w:trPr>
        <w:tc>
          <w:tcPr>
            <w:tcW w:type="dxa" w:w="23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800000"/>
                <w:sz w:val="19"/>
                <w:szCs w:val="19"/>
              </w:rPr>
              <w:t xml:space="preserve">+4</w:t>
            </w:r>
          </w:p>
        </w:tc>
        <w:tc>
          <w:tcPr>
            <w:tcW w:type="dxa" w:w="1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6,697</w:t>
            </w:r>
          </w:p>
        </w:tc>
        <w:tc>
          <w:tcPr>
            <w:tcW w:type="dxa" w:w="1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3.9%</w:t>
            </w:r>
          </w:p>
        </w:tc>
        <w:tc>
          <w:tcPr>
            <w:tcW w:type="dxa" w:w="1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$143,107</w:t>
            </w:r>
          </w:p>
        </w:tc>
        <w:tc>
          <w:tcPr>
            <w:tcW w:type="dxa" w:w="18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$21.37</w:t>
            </w:r>
          </w:p>
        </w:tc>
      </w:tr>
      <w:tr>
        <w:trPr>
          <w:cantSplit/>
        </w:trPr>
        <w:tc>
          <w:tcPr>
            <w:tcW w:type="dxa" w:w="23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Delayed (+1 to +4)</w:t>
            </w:r>
          </w:p>
        </w:tc>
        <w:tc>
          <w:tcPr>
            <w:tcW w:type="dxa" w:w="15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1F2937"/>
                <w:sz w:val="19"/>
                <w:szCs w:val="19"/>
              </w:rPr>
              <w:t xml:space="preserve">94,523</w:t>
            </w:r>
          </w:p>
        </w:tc>
        <w:tc>
          <w:tcPr>
            <w:tcW w:type="dxa" w:w="15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1F2937"/>
                <w:sz w:val="19"/>
                <w:szCs w:val="19"/>
              </w:rPr>
              <w:t xml:space="preserve">54.7%</w:t>
            </w:r>
          </w:p>
        </w:tc>
        <w:tc>
          <w:tcPr>
            <w:tcW w:type="dxa" w:w="19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1F2937"/>
                <w:sz w:val="19"/>
                <w:szCs w:val="19"/>
              </w:rPr>
              <w:t xml:space="preserve">$2,055,765</w:t>
            </w:r>
          </w:p>
        </w:tc>
        <w:tc>
          <w:tcPr>
            <w:tcW w:type="dxa" w:w="18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1F2937"/>
                <w:sz w:val="19"/>
                <w:szCs w:val="19"/>
              </w:rPr>
              <w:t xml:space="preserve">$21.75</w:t>
            </w:r>
          </w:p>
        </w:tc>
      </w:tr>
      <w:tr>
        <w:trPr>
          <w:cantSplit/>
        </w:trPr>
        <w:tc>
          <w:tcPr>
            <w:tcW w:type="dxa" w:w="23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Not delayed (−2 to 0)</w:t>
            </w:r>
          </w:p>
        </w:tc>
        <w:tc>
          <w:tcPr>
            <w:tcW w:type="dxa" w:w="1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1F2937"/>
                <w:sz w:val="19"/>
                <w:szCs w:val="19"/>
              </w:rPr>
              <w:t xml:space="preserve">78,242</w:t>
            </w:r>
          </w:p>
        </w:tc>
        <w:tc>
          <w:tcPr>
            <w:tcW w:type="dxa" w:w="1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1F2937"/>
                <w:sz w:val="19"/>
                <w:szCs w:val="19"/>
              </w:rPr>
              <w:t xml:space="preserve">45.3%</w:t>
            </w:r>
          </w:p>
        </w:tc>
        <w:tc>
          <w:tcPr>
            <w:tcW w:type="dxa" w:w="19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1F2937"/>
                <w:sz w:val="19"/>
                <w:szCs w:val="19"/>
              </w:rPr>
              <w:t xml:space="preserve">$1,750,656</w:t>
            </w:r>
          </w:p>
        </w:tc>
        <w:tc>
          <w:tcPr>
            <w:tcW w:type="dxa" w:w="18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1F2937"/>
                <w:sz w:val="19"/>
                <w:szCs w:val="19"/>
              </w:rPr>
              <w:t xml:space="preserve">$22.37</w:t>
            </w:r>
          </w:p>
        </w:tc>
      </w:tr>
    </w:tbl>
    <w:p>
      <w:pPr>
        <w:keepNext/>
        <w:spacing w:after="60" w:before="80"/>
        <w:jc w:val="center"/>
      </w:pPr>
      <w:r>
        <w:drawing>
          <wp:inline distT="0" distB="0" distL="0" distR="0">
            <wp:extent cx="5619750" cy="2085975"/>
            <wp:effectExtent t="0" r="0" b="0" l="0"/>
            <wp:docPr id="1" name="cell21.png" descr="Figure 2: Delay distribution (left) and profit analysis by delay days (right)" title="Figure 2: Delay distribution (left) and profit analysis by delay day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085975"/>
                    </a:xfrm>
                    <a:prstGeom prst="rect">
                      <a:avLst/>
                    </a:prstGeom>
                  </pic:spPr>
                </pic:pic>
              </a:graphicData>
            </a:graphic>
          </wp:inline>
        </w:drawing>
      </w:r>
    </w:p>
    <w:p>
      <w:pPr>
        <w:spacing w:after="160"/>
        <w:jc w:val="center"/>
      </w:pPr>
      <w:r>
        <w:rPr>
          <w:rFonts w:ascii="Arial" w:cs="Arial" w:eastAsia="Arial" w:hAnsi="Arial"/>
          <w:i/>
          <w:iCs/>
          <w:color w:val="6B7280"/>
          <w:sz w:val="18"/>
          <w:szCs w:val="18"/>
        </w:rPr>
        <w:t xml:space="preserve">Figure 2: Delay distribution (left) and profit analysis by delay days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rPr>
        <w:tc>
          <w:tcPr>
            <w:tcW w:type="dxa" w:w="2500"/>
            <w:tcBorders>
              <w:top w:val="single" w:color="800000" w:sz="4"/>
              <w:left w:val="single" w:color="800000" w:sz="18"/>
              <w:bottom w:val="single" w:color="800000" w:sz="4"/>
              <w:right w:val="none" w:color="FFFFFF" w:sz="0"/>
            </w:tcBorders>
            <w:tcMar>
              <w:top w:type="dxa" w:w="90"/>
              <w:left w:type="dxa" w:w="130"/>
              <w:bottom w:type="dxa" w:w="90"/>
              <w:right w:type="dxa" w:w="90"/>
            </w:tcMar>
          </w:tcPr>
          <w:p>
            <w:pPr>
              <w:spacing w:after="0"/>
            </w:pPr>
            <w:r>
              <w:rPr>
                <w:rFonts w:ascii="Arial" w:cs="Arial" w:eastAsia="Arial" w:hAnsi="Arial"/>
                <w:b/>
                <w:bCs/>
                <w:color w:val="1B2A4A"/>
                <w:sz w:val="20"/>
                <w:szCs w:val="20"/>
              </w:rPr>
              <w:t xml:space="preserve">● Critical observation</w:t>
            </w:r>
          </w:p>
        </w:tc>
        <w:tc>
          <w:tcPr>
            <w:tcW w:type="dxa" w:w="6526"/>
            <w:tcBorders>
              <w:top w:val="single" w:color="800000" w:sz="4"/>
              <w:left w:val="single" w:color="800000" w:sz="4"/>
              <w:bottom w:val="single" w:color="800000" w:sz="4"/>
              <w:right w:val="single" w:color="800000" w:sz="4"/>
            </w:tcBorders>
            <w:tcMar>
              <w:top w:type="dxa" w:w="90"/>
              <w:left w:type="dxa" w:w="130"/>
              <w:bottom w:type="dxa" w:w="90"/>
              <w:right w:type="dxa" w:w="110"/>
            </w:tcMar>
          </w:tcPr>
          <w:p>
            <w:pPr>
              <w:spacing w:after="0" w:line="260"/>
            </w:pPr>
            <w:r>
              <w:rPr>
                <w:rFonts w:ascii="Arial" w:cs="Arial" w:eastAsia="Arial" w:hAnsi="Arial"/>
                <w:color w:val="1F2937"/>
                <w:sz w:val="19"/>
                <w:szCs w:val="19"/>
              </w:rPr>
              <w:t xml:space="preserve">Mean profit per order remains stable at approximately $20–$23 across all delay levels (delayed orders average $21.75 versus $22.37 for on-time orders, a gap of only about 3%). The profitability problem is therefore driven by the volume of delayed orders, not by individual order economics — making systemic throughput improvement the highest-leverage intervention.</w:t>
            </w:r>
          </w:p>
        </w:tc>
      </w:tr>
    </w:tbl>
    <w:p>
      <w:pPr>
        <w:spacing w:after="100"/>
      </w:pPr>
    </w:p>
    <w:p>
      <w:pPr>
        <w:keepLines/>
        <w:spacing w:after="120" w:before="0" w:line="276"/>
      </w:pPr>
      <w:r>
        <w:rPr>
          <w:rFonts w:ascii="Arial" w:cs="Arial" w:eastAsia="Arial" w:hAnsi="Arial"/>
          <w:i/>
          <w:iCs/>
          <w:color w:val="6B7280"/>
          <w:sz w:val="19"/>
          <w:szCs w:val="19"/>
        </w:rPr>
        <w:t xml:space="preserve">Note: the 18.7% loss-making share should be analysed separately. Because mean profit does not fall with delay, this analysis does not show that losses are concentrated among late orders; confirming or ruling that out requires a discount-by-delay cut of the data (Recommendation 7).</w:t>
      </w:r>
    </w:p>
    <w:p>
      <w:pPr>
        <w:pStyle w:val="Heading1"/>
        <w:keepNext/>
        <w:pageBreakBefore/>
        <w:pBdr>
          <w:bottom w:val="single" w:color="2A8C82" w:sz="8" w:space="4"/>
        </w:pBdr>
        <w:spacing w:after="160" w:before="0"/>
      </w:pPr>
      <w:r>
        <w:rPr>
          <w:rFonts w:ascii="Arial" w:cs="Arial" w:eastAsia="Arial" w:hAnsi="Arial"/>
          <w:b/>
          <w:bCs/>
          <w:color w:val="1B2A4A"/>
          <w:sz w:val="36"/>
          <w:szCs w:val="36"/>
        </w:rPr>
        <w:t xml:space="preserve">5. Bottleneck Detection</w:t>
      </w:r>
    </w:p>
    <w:p>
      <w:pPr>
        <w:keepLines/>
        <w:spacing w:after="120" w:before="0" w:line="276"/>
      </w:pPr>
      <w:r>
        <w:rPr>
          <w:rFonts w:ascii="Arial" w:cs="Arial" w:eastAsia="Arial" w:hAnsi="Arial"/>
          <w:color w:val="1F2937"/>
          <w:sz w:val="21"/>
          <w:szCs w:val="21"/>
        </w:rPr>
        <w:t xml:space="preserve">Delay percentage was computed across six key operational dimensions. The charts below reveal where the fulfilment process breaks down most severely.</w:t>
      </w:r>
    </w:p>
    <w:p>
      <w:pPr>
        <w:keepNext/>
        <w:spacing w:after="60" w:before="80"/>
        <w:jc w:val="center"/>
      </w:pPr>
      <w:r>
        <w:drawing>
          <wp:inline distT="0" distB="0" distL="0" distR="0">
            <wp:extent cx="5715000" cy="2524125"/>
            <wp:effectExtent t="0" r="0" b="0" l="0"/>
            <wp:docPr id="1" name="cell23.png" descr="Figure 3: Bottleneck detection — delay % by category (top 10 categories per dimension)" title="Figure 3: Bottleneck detection — delay % by category (top 10 categories per dim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24125"/>
                    </a:xfrm>
                    <a:prstGeom prst="rect">
                      <a:avLst/>
                    </a:prstGeom>
                  </pic:spPr>
                </pic:pic>
              </a:graphicData>
            </a:graphic>
          </wp:inline>
        </w:drawing>
      </w:r>
    </w:p>
    <w:p>
      <w:pPr>
        <w:spacing w:after="160"/>
        <w:jc w:val="center"/>
      </w:pPr>
      <w:r>
        <w:rPr>
          <w:rFonts w:ascii="Arial" w:cs="Arial" w:eastAsia="Arial" w:hAnsi="Arial"/>
          <w:i/>
          <w:iCs/>
          <w:color w:val="6B7280"/>
          <w:sz w:val="18"/>
          <w:szCs w:val="18"/>
        </w:rPr>
        <w:t xml:space="preserve">Figure 3: Bottleneck detection — delay % by category (top 10 categories per dimension)</w:t>
      </w:r>
    </w:p>
    <w:p>
      <w:pPr>
        <w:keepLines/>
        <w:spacing w:after="120" w:before="0" w:line="276"/>
      </w:pPr>
      <w:r>
        <w:rPr>
          <w:rFonts w:ascii="Arial" w:cs="Arial" w:eastAsia="Arial" w:hAnsi="Arial"/>
          <w:color w:val="1F2937"/>
          <w:sz w:val="21"/>
          <w:szCs w:val="21"/>
        </w:rPr>
        <w:t xml:space="preserve">Spread of delay rates by dimension. </w:t>
      </w:r>
      <w:r>
        <w:rPr>
          <w:rFonts w:ascii="Arial" w:cs="Arial" w:eastAsia="Arial" w:hAnsi="Arial"/>
          <w:color w:val="1F2937"/>
          <w:sz w:val="21"/>
          <w:szCs w:val="21"/>
        </w:rPr>
        <w:t xml:space="preserve">A bottleneck is a dimension where the delay rate differs sharply between its categories. Shipping mode is the only dimension with a large spread.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400"/>
        <w:gridCol w:w="1926"/>
      </w:tblGrid>
      <w:tr>
        <w:trPr>
          <w:cantSplit/>
          <w:tblHeader/>
        </w:trPr>
        <w:tc>
          <w:tcPr>
            <w:tcW w:type="dxa" w:w="20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Dimension</w:t>
            </w:r>
          </w:p>
        </w:tc>
        <w:tc>
          <w:tcPr>
            <w:tcW w:type="dxa" w:w="27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Highest delay rate</w:t>
            </w:r>
          </w:p>
        </w:tc>
        <w:tc>
          <w:tcPr>
            <w:tcW w:type="dxa" w:w="24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Lowest delay rate shown</w:t>
            </w:r>
          </w:p>
        </w:tc>
        <w:tc>
          <w:tcPr>
            <w:tcW w:type="dxa" w:w="1926"/>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Spread</w:t>
            </w:r>
          </w:p>
        </w:tc>
      </w:tr>
      <w:tr>
        <w:trPr>
          <w:cantSplit/>
        </w:trPr>
        <w:tc>
          <w:tcPr>
            <w:tcW w:type="dxa" w:w="2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Shipping Mode</w:t>
            </w:r>
          </w:p>
        </w:tc>
        <w:tc>
          <w:tcPr>
            <w:tcW w:type="dxa" w:w="27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800000"/>
                <w:sz w:val="19"/>
                <w:szCs w:val="19"/>
              </w:rPr>
              <w:t xml:space="preserve">First Class 100.0%</w:t>
            </w:r>
          </w:p>
        </w:tc>
        <w:tc>
          <w:tcPr>
            <w:tcW w:type="dxa" w:w="2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Same Day 0.0%</w:t>
            </w:r>
          </w:p>
        </w:tc>
        <w:tc>
          <w:tcPr>
            <w:tcW w:type="dxa" w:w="19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800000"/>
                <w:sz w:val="19"/>
                <w:szCs w:val="19"/>
              </w:rPr>
              <w:t xml:space="preserve">100.0 pts</w:t>
            </w:r>
          </w:p>
        </w:tc>
      </w:tr>
      <w:tr>
        <w:trPr>
          <w:cantSplit/>
        </w:trPr>
        <w:tc>
          <w:tcPr>
            <w:tcW w:type="dxa" w:w="20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Order Region</w:t>
            </w:r>
          </w:p>
        </w:tc>
        <w:tc>
          <w:tcPr>
            <w:tcW w:type="dxa" w:w="27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Central Africa 58.7%</w:t>
            </w:r>
          </w:p>
        </w:tc>
        <w:tc>
          <w:tcPr>
            <w:tcW w:type="dxa" w:w="24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East of USA 55.1%</w:t>
            </w:r>
          </w:p>
        </w:tc>
        <w:tc>
          <w:tcPr>
            <w:tcW w:type="dxa" w:w="19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3.6 pts</w:t>
            </w:r>
          </w:p>
        </w:tc>
      </w:tr>
      <w:tr>
        <w:trPr>
          <w:cantSplit/>
        </w:trPr>
        <w:tc>
          <w:tcPr>
            <w:tcW w:type="dxa" w:w="2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Department</w:t>
            </w:r>
          </w:p>
        </w:tc>
        <w:tc>
          <w:tcPr>
            <w:tcW w:type="dxa" w:w="27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Health and Beauty 56.9%</w:t>
            </w:r>
          </w:p>
        </w:tc>
        <w:tc>
          <w:tcPr>
            <w:tcW w:type="dxa" w:w="2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Discs Shop 54.0%</w:t>
            </w:r>
          </w:p>
        </w:tc>
        <w:tc>
          <w:tcPr>
            <w:tcW w:type="dxa" w:w="19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2.9 pts</w:t>
            </w:r>
          </w:p>
        </w:tc>
      </w:tr>
      <w:tr>
        <w:trPr>
          <w:cantSplit/>
        </w:trPr>
        <w:tc>
          <w:tcPr>
            <w:tcW w:type="dxa" w:w="20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Order Status</w:t>
            </w:r>
          </w:p>
        </w:tc>
        <w:tc>
          <w:tcPr>
            <w:tcW w:type="dxa" w:w="27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PENDING / PAYMENT_REVIEW 55.3%</w:t>
            </w:r>
          </w:p>
        </w:tc>
        <w:tc>
          <w:tcPr>
            <w:tcW w:type="dxa" w:w="24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ON_HOLD 53.0%</w:t>
            </w:r>
          </w:p>
        </w:tc>
        <w:tc>
          <w:tcPr>
            <w:tcW w:type="dxa" w:w="19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2.3 pts</w:t>
            </w:r>
          </w:p>
        </w:tc>
      </w:tr>
      <w:tr>
        <w:trPr>
          <w:cantSplit/>
        </w:trPr>
        <w:tc>
          <w:tcPr>
            <w:tcW w:type="dxa" w:w="2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Payment Type</w:t>
            </w:r>
          </w:p>
        </w:tc>
        <w:tc>
          <w:tcPr>
            <w:tcW w:type="dxa" w:w="27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PAYMENT 55.0%</w:t>
            </w:r>
          </w:p>
        </w:tc>
        <w:tc>
          <w:tcPr>
            <w:tcW w:type="dxa" w:w="2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CASH 53.8%</w:t>
            </w:r>
          </w:p>
        </w:tc>
        <w:tc>
          <w:tcPr>
            <w:tcW w:type="dxa" w:w="19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1.2 pts</w:t>
            </w:r>
          </w:p>
        </w:tc>
      </w:tr>
      <w:tr>
        <w:trPr>
          <w:cantSplit/>
        </w:trPr>
        <w:tc>
          <w:tcPr>
            <w:tcW w:type="dxa" w:w="20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Customer Segment</w:t>
            </w:r>
          </w:p>
        </w:tc>
        <w:tc>
          <w:tcPr>
            <w:tcW w:type="dxa" w:w="27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Home Office 55.4%</w:t>
            </w:r>
          </w:p>
        </w:tc>
        <w:tc>
          <w:tcPr>
            <w:tcW w:type="dxa" w:w="24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Corporate 54.5%</w:t>
            </w:r>
          </w:p>
        </w:tc>
        <w:tc>
          <w:tcPr>
            <w:tcW w:type="dxa" w:w="19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0.9 pts</w:t>
            </w:r>
          </w:p>
        </w:tc>
      </w:tr>
    </w:tbl>
    <w:p>
      <w:pPr>
        <w:spacing w:after="60"/>
      </w:pPr>
    </w:p>
    <w:p>
      <w:pPr>
        <w:spacing w:after="140"/>
      </w:pPr>
      <w:r>
        <w:rPr>
          <w:rFonts w:ascii="Arial" w:cs="Arial" w:eastAsia="Arial" w:hAnsi="Arial"/>
          <w:i/>
          <w:iCs/>
          <w:color w:val="6B7280"/>
          <w:sz w:val="17"/>
          <w:szCs w:val="17"/>
        </w:rPr>
        <w:t xml:space="preserve">Region and department charts show the top 10 categories only; "lowest shown" is the lowest of those ten.</w:t>
      </w:r>
    </w:p>
    <w:p>
      <w:pPr>
        <w:keepNext/>
        <w:spacing w:after="80" w:before="180"/>
      </w:pPr>
      <w:r>
        <w:rPr>
          <w:rFonts w:ascii="Arial" w:cs="Arial" w:eastAsia="Arial" w:hAnsi="Arial"/>
          <w:b/>
          <w:bCs/>
          <w:color w:val="1B2A4A"/>
          <w:sz w:val="22"/>
          <w:szCs w:val="22"/>
        </w:rPr>
        <w:t xml:space="preserve">Shipping mode: the dominant failure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050"/>
        <w:gridCol w:w="1100"/>
        <w:gridCol w:w="1250"/>
        <w:gridCol w:w="1100"/>
        <w:gridCol w:w="1500"/>
        <w:gridCol w:w="1326"/>
      </w:tblGrid>
      <w:tr>
        <w:trPr>
          <w:cantSplit/>
          <w:tblHeader/>
        </w:trPr>
        <w:tc>
          <w:tcPr>
            <w:tcW w:type="dxa" w:w="17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Shipping mode</w:t>
            </w:r>
          </w:p>
        </w:tc>
        <w:tc>
          <w:tcPr>
            <w:tcW w:type="dxa" w:w="105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9"/>
                <w:szCs w:val="19"/>
              </w:rPr>
              <w:t xml:space="preserve">Sched. days</w:t>
            </w:r>
          </w:p>
        </w:tc>
        <w:tc>
          <w:tcPr>
            <w:tcW w:type="dxa" w:w="11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9"/>
                <w:szCs w:val="19"/>
              </w:rPr>
              <w:t xml:space="preserve">Orders</w:t>
            </w:r>
          </w:p>
        </w:tc>
        <w:tc>
          <w:tcPr>
            <w:tcW w:type="dxa" w:w="125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9"/>
                <w:szCs w:val="19"/>
              </w:rPr>
              <w:t xml:space="preserve">Share of orders</w:t>
            </w:r>
          </w:p>
        </w:tc>
        <w:tc>
          <w:tcPr>
            <w:tcW w:type="dxa" w:w="11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9"/>
                <w:szCs w:val="19"/>
              </w:rPr>
              <w:t xml:space="preserve">Delay rate</w:t>
            </w:r>
          </w:p>
        </w:tc>
        <w:tc>
          <w:tcPr>
            <w:tcW w:type="dxa" w:w="15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9"/>
                <w:szCs w:val="19"/>
              </w:rPr>
              <w:t xml:space="preserve">Late orders (approx.)</w:t>
            </w:r>
          </w:p>
        </w:tc>
        <w:tc>
          <w:tcPr>
            <w:tcW w:type="dxa" w:w="1326"/>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9"/>
                <w:szCs w:val="19"/>
              </w:rPr>
              <w:t xml:space="preserve">Share of late orders</w:t>
            </w:r>
          </w:p>
        </w:tc>
      </w:tr>
      <w:tr>
        <w:trPr>
          <w:cantSplit/>
        </w:trPr>
        <w:tc>
          <w:tcPr>
            <w:tcW w:type="dxa" w:w="17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Standard Class</w:t>
            </w:r>
          </w:p>
        </w:tc>
        <w:tc>
          <w:tcPr>
            <w:tcW w:type="dxa" w:w="105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center"/>
            </w:pPr>
            <w:r>
              <w:rPr>
                <w:rFonts w:ascii="Arial" w:cs="Arial" w:eastAsia="Arial" w:hAnsi="Arial"/>
                <w:color w:val="1F2937"/>
                <w:sz w:val="19"/>
                <w:szCs w:val="19"/>
              </w:rPr>
              <w:t xml:space="preserve">4</w:t>
            </w:r>
          </w:p>
        </w:tc>
        <w:tc>
          <w:tcPr>
            <w:tcW w:type="dxa" w:w="11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103,153</w:t>
            </w:r>
          </w:p>
        </w:tc>
        <w:tc>
          <w:tcPr>
            <w:tcW w:type="dxa" w:w="125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59.7%</w:t>
            </w:r>
          </w:p>
        </w:tc>
        <w:tc>
          <w:tcPr>
            <w:tcW w:type="dxa" w:w="11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0A30A"/>
                <w:sz w:val="19"/>
                <w:szCs w:val="19"/>
              </w:rPr>
              <w:t xml:space="preserve">39.8%</w:t>
            </w:r>
          </w:p>
        </w:tc>
        <w:tc>
          <w:tcPr>
            <w:tcW w:type="dxa" w:w="1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 41,055</w:t>
            </w:r>
          </w:p>
        </w:tc>
        <w:tc>
          <w:tcPr>
            <w:tcW w:type="dxa" w:w="13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 43.4%</w:t>
            </w:r>
          </w:p>
        </w:tc>
      </w:tr>
      <w:tr>
        <w:trPr>
          <w:cantSplit/>
        </w:trPr>
        <w:tc>
          <w:tcPr>
            <w:tcW w:type="dxa" w:w="17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Second Class</w:t>
            </w:r>
          </w:p>
        </w:tc>
        <w:tc>
          <w:tcPr>
            <w:tcW w:type="dxa" w:w="105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color w:val="1F2937"/>
                <w:sz w:val="19"/>
                <w:szCs w:val="19"/>
              </w:rPr>
              <w:t xml:space="preserve">2</w:t>
            </w:r>
          </w:p>
        </w:tc>
        <w:tc>
          <w:tcPr>
            <w:tcW w:type="dxa" w:w="11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33,806</w:t>
            </w:r>
          </w:p>
        </w:tc>
        <w:tc>
          <w:tcPr>
            <w:tcW w:type="dxa" w:w="125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19.6%</w:t>
            </w:r>
          </w:p>
        </w:tc>
        <w:tc>
          <w:tcPr>
            <w:tcW w:type="dxa" w:w="11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800000"/>
                <w:sz w:val="19"/>
                <w:szCs w:val="19"/>
              </w:rPr>
              <w:t xml:space="preserve">79.8%</w:t>
            </w:r>
          </w:p>
        </w:tc>
        <w:tc>
          <w:tcPr>
            <w:tcW w:type="dxa" w:w="15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 26,977</w:t>
            </w:r>
          </w:p>
        </w:tc>
        <w:tc>
          <w:tcPr>
            <w:tcW w:type="dxa" w:w="13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 28.5%</w:t>
            </w:r>
          </w:p>
        </w:tc>
      </w:tr>
      <w:tr>
        <w:trPr>
          <w:cantSplit/>
        </w:trPr>
        <w:tc>
          <w:tcPr>
            <w:tcW w:type="dxa" w:w="17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First Class</w:t>
            </w:r>
          </w:p>
        </w:tc>
        <w:tc>
          <w:tcPr>
            <w:tcW w:type="dxa" w:w="105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center"/>
            </w:pPr>
            <w:r>
              <w:rPr>
                <w:rFonts w:ascii="Arial" w:cs="Arial" w:eastAsia="Arial" w:hAnsi="Arial"/>
                <w:color w:val="1F2937"/>
                <w:sz w:val="19"/>
                <w:szCs w:val="19"/>
              </w:rPr>
              <w:t xml:space="preserve">1</w:t>
            </w:r>
          </w:p>
        </w:tc>
        <w:tc>
          <w:tcPr>
            <w:tcW w:type="dxa" w:w="11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26,513</w:t>
            </w:r>
          </w:p>
        </w:tc>
        <w:tc>
          <w:tcPr>
            <w:tcW w:type="dxa" w:w="125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15.3%</w:t>
            </w:r>
          </w:p>
        </w:tc>
        <w:tc>
          <w:tcPr>
            <w:tcW w:type="dxa" w:w="11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800000"/>
                <w:sz w:val="19"/>
                <w:szCs w:val="19"/>
              </w:rPr>
              <w:t xml:space="preserve">100.0%</w:t>
            </w:r>
          </w:p>
        </w:tc>
        <w:tc>
          <w:tcPr>
            <w:tcW w:type="dxa" w:w="1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26,513</w:t>
            </w:r>
          </w:p>
        </w:tc>
        <w:tc>
          <w:tcPr>
            <w:tcW w:type="dxa" w:w="13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 28.0%</w:t>
            </w:r>
          </w:p>
        </w:tc>
      </w:tr>
      <w:tr>
        <w:trPr>
          <w:cantSplit/>
        </w:trPr>
        <w:tc>
          <w:tcPr>
            <w:tcW w:type="dxa" w:w="17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Same Day</w:t>
            </w:r>
          </w:p>
        </w:tc>
        <w:tc>
          <w:tcPr>
            <w:tcW w:type="dxa" w:w="105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color w:val="1F2937"/>
                <w:sz w:val="19"/>
                <w:szCs w:val="19"/>
              </w:rPr>
              <w:t xml:space="preserve">0</w:t>
            </w:r>
          </w:p>
        </w:tc>
        <w:tc>
          <w:tcPr>
            <w:tcW w:type="dxa" w:w="11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9,293</w:t>
            </w:r>
          </w:p>
        </w:tc>
        <w:tc>
          <w:tcPr>
            <w:tcW w:type="dxa" w:w="125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5.4%</w:t>
            </w:r>
          </w:p>
        </w:tc>
        <w:tc>
          <w:tcPr>
            <w:tcW w:type="dxa" w:w="11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2A8C82"/>
                <w:sz w:val="19"/>
                <w:szCs w:val="19"/>
              </w:rPr>
              <w:t xml:space="preserve">0.0%</w:t>
            </w:r>
          </w:p>
        </w:tc>
        <w:tc>
          <w:tcPr>
            <w:tcW w:type="dxa" w:w="15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0</w:t>
            </w:r>
          </w:p>
        </w:tc>
        <w:tc>
          <w:tcPr>
            <w:tcW w:type="dxa" w:w="13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0.0%</w:t>
            </w:r>
          </w:p>
        </w:tc>
      </w:tr>
    </w:tbl>
    <w:p>
      <w:pPr>
        <w:spacing w:after="60"/>
      </w:pPr>
    </w:p>
    <w:p>
      <w:pPr>
        <w:spacing w:after="140"/>
      </w:pPr>
      <w:r>
        <w:rPr>
          <w:rFonts w:ascii="Arial" w:cs="Arial" w:eastAsia="Arial" w:hAnsi="Arial"/>
          <w:i/>
          <w:iCs/>
          <w:color w:val="6B7280"/>
          <w:sz w:val="17"/>
          <w:szCs w:val="17"/>
        </w:rPr>
        <w:t xml:space="preserve">Late orders are estimated as delay rate × orders (rounded rates), so totals differ from 94,523 by a few dozen orders.</w:t>
      </w:r>
    </w:p>
    <w:p>
      <w:pPr>
        <w:keepNext/>
        <w:spacing w:after="60" w:before="80"/>
        <w:jc w:val="center"/>
      </w:pPr>
      <w:r>
        <w:drawing>
          <wp:inline distT="0" distB="0" distL="0" distR="0">
            <wp:extent cx="5334000" cy="2486025"/>
            <wp:effectExtent t="0" r="0" b="0" l="0"/>
            <wp:docPr id="1" name="chartA.png" descr="Figure 4: Share of orders versus share of late orders, by shipping mode" title="Figure 4: Share of orders versus share of late orders, by shipping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86025"/>
                    </a:xfrm>
                    <a:prstGeom prst="rect">
                      <a:avLst/>
                    </a:prstGeom>
                  </pic:spPr>
                </pic:pic>
              </a:graphicData>
            </a:graphic>
          </wp:inline>
        </w:drawing>
      </w:r>
    </w:p>
    <w:p>
      <w:pPr>
        <w:spacing w:after="160"/>
        <w:jc w:val="center"/>
      </w:pPr>
      <w:r>
        <w:rPr>
          <w:rFonts w:ascii="Arial" w:cs="Arial" w:eastAsia="Arial" w:hAnsi="Arial"/>
          <w:i/>
          <w:iCs/>
          <w:color w:val="6B7280"/>
          <w:sz w:val="18"/>
          <w:szCs w:val="18"/>
        </w:rPr>
        <w:t xml:space="preserve">Figure 4: Share of orders versus share of late orders, by shipping mode</w:t>
      </w:r>
    </w:p>
    <w:p>
      <w:pPr>
        <w:keepNext/>
        <w:spacing w:after="80" w:before="180"/>
      </w:pPr>
      <w:r>
        <w:rPr>
          <w:rFonts w:ascii="Arial" w:cs="Arial" w:eastAsia="Arial" w:hAnsi="Arial"/>
          <w:b/>
          <w:bCs/>
          <w:color w:val="1B2A4A"/>
          <w:sz w:val="22"/>
          <w:szCs w:val="22"/>
        </w:rPr>
        <w:t xml:space="preserve">Key bottleneck findings</w:t>
      </w:r>
    </w:p>
    <w:p>
      <w:pPr>
        <w:pStyle w:val="ListParagraph"/>
        <w:keepLines/>
        <w:numPr>
          <w:ilvl w:val="0"/>
          <w:numId w:val="2"/>
        </w:numPr>
        <w:spacing w:after="70" w:line="270"/>
      </w:pPr>
      <w:r>
        <w:rPr>
          <w:rFonts w:ascii="Arial" w:cs="Arial" w:eastAsia="Arial" w:hAnsi="Arial"/>
          <w:b/>
          <w:bCs/>
          <w:color w:val="1F2937"/>
          <w:sz w:val="21"/>
          <w:szCs w:val="21"/>
        </w:rPr>
        <w:t xml:space="preserve">Shipping mode: </w:t>
      </w:r>
      <w:r>
        <w:rPr>
          <w:rFonts w:ascii="Arial" w:cs="Arial" w:eastAsia="Arial" w:hAnsi="Arial"/>
          <w:color w:val="1F2937"/>
          <w:sz w:val="21"/>
          <w:szCs w:val="21"/>
        </w:rPr>
        <w:t xml:space="preserve">First Class is late on 100% of orders and Second Class on 79.8%, while Same Day is never late. Together the two premium modes are about 35% of orders but about 57% of all late deliveries.</w:t>
      </w:r>
    </w:p>
    <w:p>
      <w:pPr>
        <w:pStyle w:val="ListParagraph"/>
        <w:keepLines/>
        <w:numPr>
          <w:ilvl w:val="0"/>
          <w:numId w:val="2"/>
        </w:numPr>
        <w:spacing w:after="70" w:line="270"/>
      </w:pPr>
      <w:r>
        <w:rPr>
          <w:rFonts w:ascii="Arial" w:cs="Arial" w:eastAsia="Arial" w:hAnsi="Arial"/>
          <w:b/>
          <w:bCs/>
          <w:color w:val="1F2937"/>
          <w:sz w:val="21"/>
          <w:szCs w:val="21"/>
        </w:rPr>
        <w:t xml:space="preserve">Region: </w:t>
      </w:r>
      <w:r>
        <w:rPr>
          <w:rFonts w:ascii="Arial" w:cs="Arial" w:eastAsia="Arial" w:hAnsi="Arial"/>
          <w:color w:val="1F2937"/>
          <w:sz w:val="21"/>
          <w:szCs w:val="21"/>
        </w:rPr>
        <w:t xml:space="preserve">Central Africa is the weakest region at 58.7%, about 4 points above the company average, but all top-10 regions sit within 55–59%.</w:t>
      </w:r>
    </w:p>
    <w:p>
      <w:pPr>
        <w:pStyle w:val="ListParagraph"/>
        <w:keepLines/>
        <w:numPr>
          <w:ilvl w:val="0"/>
          <w:numId w:val="2"/>
        </w:numPr>
        <w:spacing w:after="70" w:line="270"/>
      </w:pPr>
      <w:r>
        <w:rPr>
          <w:rFonts w:ascii="Arial" w:cs="Arial" w:eastAsia="Arial" w:hAnsi="Arial"/>
          <w:b/>
          <w:bCs/>
          <w:color w:val="1F2937"/>
          <w:sz w:val="21"/>
          <w:szCs w:val="21"/>
        </w:rPr>
        <w:t xml:space="preserve">Payment: </w:t>
      </w:r>
      <w:r>
        <w:rPr>
          <w:rFonts w:ascii="Arial" w:cs="Arial" w:eastAsia="Arial" w:hAnsi="Arial"/>
          <w:color w:val="1F2937"/>
          <w:sz w:val="21"/>
          <w:szCs w:val="21"/>
        </w:rPr>
        <w:t xml:space="preserve">PENDING and PAYMENT_REVIEW orders (55.3%) run slightly above the 54.7% average; the effect is small nationally but severe in specific regions (see Section 6).</w:t>
      </w:r>
    </w:p>
    <w:p>
      <w:pPr>
        <w:pStyle w:val="ListParagraph"/>
        <w:keepLines/>
        <w:numPr>
          <w:ilvl w:val="0"/>
          <w:numId w:val="2"/>
        </w:numPr>
        <w:spacing w:after="70" w:line="270"/>
      </w:pPr>
      <w:r>
        <w:rPr>
          <w:rFonts w:ascii="Arial" w:cs="Arial" w:eastAsia="Arial" w:hAnsi="Arial"/>
          <w:b/>
          <w:bCs/>
          <w:color w:val="1F2937"/>
          <w:sz w:val="21"/>
          <w:szCs w:val="21"/>
        </w:rPr>
        <w:t xml:space="preserve">Segment and department: </w:t>
      </w:r>
      <w:r>
        <w:rPr>
          <w:rFonts w:ascii="Arial" w:cs="Arial" w:eastAsia="Arial" w:hAnsi="Arial"/>
          <w:color w:val="1F2937"/>
          <w:sz w:val="21"/>
          <w:szCs w:val="21"/>
        </w:rPr>
        <w:t xml:space="preserve">Customer segment makes almost no difference (0.9 pts). Health and Beauty (56.9%) and Pet Shop (56.6%) are the most delay-prone departments.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rPr>
        <w:tc>
          <w:tcPr>
            <w:tcW w:type="dxa" w:w="2500"/>
            <w:tcBorders>
              <w:top w:val="single" w:color="F0A30A" w:sz="4"/>
              <w:left w:val="single" w:color="F0A30A" w:sz="18"/>
              <w:bottom w:val="single" w:color="F0A30A" w:sz="4"/>
              <w:right w:val="none" w:color="FFFFFF" w:sz="0"/>
            </w:tcBorders>
            <w:tcMar>
              <w:top w:type="dxa" w:w="90"/>
              <w:left w:type="dxa" w:w="130"/>
              <w:bottom w:type="dxa" w:w="90"/>
              <w:right w:type="dxa" w:w="90"/>
            </w:tcMar>
          </w:tcPr>
          <w:p>
            <w:pPr>
              <w:spacing w:after="0"/>
            </w:pPr>
            <w:r>
              <w:rPr>
                <w:rFonts w:ascii="Arial" w:cs="Arial" w:eastAsia="Arial" w:hAnsi="Arial"/>
                <w:b/>
                <w:bCs/>
                <w:color w:val="1B2A4A"/>
                <w:sz w:val="20"/>
                <w:szCs w:val="20"/>
              </w:rPr>
              <w:t xml:space="preserve">● Structural signal</w:t>
            </w:r>
          </w:p>
        </w:tc>
        <w:tc>
          <w:tcPr>
            <w:tcW w:type="dxa" w:w="6526"/>
            <w:tcBorders>
              <w:top w:val="single" w:color="F0A30A" w:sz="4"/>
              <w:left w:val="single" w:color="F0A30A" w:sz="4"/>
              <w:bottom w:val="single" w:color="F0A30A" w:sz="4"/>
              <w:right w:val="single" w:color="F0A30A" w:sz="4"/>
            </w:tcBorders>
            <w:tcMar>
              <w:top w:type="dxa" w:w="90"/>
              <w:left w:type="dxa" w:w="130"/>
              <w:bottom w:type="dxa" w:w="90"/>
              <w:right w:type="dxa" w:w="110"/>
            </w:tcMar>
          </w:tcPr>
          <w:p>
            <w:pPr>
              <w:spacing w:after="0" w:line="260"/>
            </w:pPr>
            <w:r>
              <w:rPr>
                <w:rFonts w:ascii="Arial" w:cs="Arial" w:eastAsia="Arial" w:hAnsi="Arial"/>
                <w:color w:val="1F2937"/>
                <w:sz w:val="19"/>
                <w:szCs w:val="19"/>
              </w:rPr>
              <w:t xml:space="preserve">Delay rates of exactly 100% (First Class) and 0% (Same Day) are unusual for real operations. They suggest the promised delivery windows are structurally misaligned with how each mode is actually fulfilled. Validating the SLA definitions with the logistics team should be the first step of any remediation.</w:t>
            </w:r>
          </w:p>
        </w:tc>
      </w:tr>
    </w:tbl>
    <w:p>
      <w:pPr>
        <w:pStyle w:val="Heading1"/>
        <w:keepNext/>
        <w:pageBreakBefore/>
        <w:pBdr>
          <w:bottom w:val="single" w:color="2A8C82" w:sz="8" w:space="4"/>
        </w:pBdr>
        <w:spacing w:after="160" w:before="0"/>
      </w:pPr>
      <w:r>
        <w:rPr>
          <w:rFonts w:ascii="Arial" w:cs="Arial" w:eastAsia="Arial" w:hAnsi="Arial"/>
          <w:b/>
          <w:bCs/>
          <w:color w:val="1B2A4A"/>
          <w:sz w:val="36"/>
          <w:szCs w:val="36"/>
        </w:rPr>
        <w:t xml:space="preserve">6. Root Cause Analysis</w:t>
      </w:r>
    </w:p>
    <w:p>
      <w:pPr>
        <w:keepLines/>
        <w:spacing w:after="120" w:before="0" w:line="276"/>
      </w:pPr>
      <w:r>
        <w:rPr>
          <w:rFonts w:ascii="Arial" w:cs="Arial" w:eastAsia="Arial" w:hAnsi="Arial"/>
          <w:color w:val="1F2937"/>
          <w:sz w:val="21"/>
          <w:szCs w:val="21"/>
        </w:rPr>
        <w:t xml:space="preserve">To understand what drives delay inside the weakest region, the top contributing factors were ranked for Central Africa (58.7% delay rate). Every factor below is the delay rate of orders within that factor level.</w:t>
      </w:r>
    </w:p>
    <w:p>
      <w:pPr>
        <w:keepNext/>
        <w:spacing w:after="60" w:before="80"/>
        <w:jc w:val="center"/>
      </w:pPr>
      <w:r>
        <w:drawing>
          <wp:inline distT="0" distB="0" distL="0" distR="0">
            <wp:extent cx="4476750" cy="2667000"/>
            <wp:effectExtent t="0" r="0" b="0" l="0"/>
            <wp:docPr id="1" name="cell25.png" descr="Figure 5: Top drivers of late delivery in Central Africa" title="Figure 5: Top drivers of late delivery in Central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667000"/>
                    </a:xfrm>
                    <a:prstGeom prst="rect">
                      <a:avLst/>
                    </a:prstGeom>
                  </pic:spPr>
                </pic:pic>
              </a:graphicData>
            </a:graphic>
          </wp:inline>
        </w:drawing>
      </w:r>
    </w:p>
    <w:p>
      <w:pPr>
        <w:spacing w:after="160"/>
        <w:jc w:val="center"/>
      </w:pPr>
      <w:r>
        <w:rPr>
          <w:rFonts w:ascii="Arial" w:cs="Arial" w:eastAsia="Arial" w:hAnsi="Arial"/>
          <w:i/>
          <w:iCs/>
          <w:color w:val="6B7280"/>
          <w:sz w:val="18"/>
          <w:szCs w:val="18"/>
        </w:rPr>
        <w:t xml:space="preserve">Figure 5: Top drivers of late delivery in Central Africa</w:t>
      </w:r>
    </w:p>
    <w:p>
      <w:pPr>
        <w:keepLines/>
        <w:spacing w:after="120" w:before="0" w:line="276"/>
      </w:pPr>
      <w:r>
        <w:rPr>
          <w:rFonts w:ascii="Arial" w:cs="Arial" w:eastAsia="Arial" w:hAnsi="Arial"/>
          <w:color w:val="1F2937"/>
          <w:sz w:val="21"/>
          <w:szCs w:val="21"/>
        </w:rPr>
        <w:t xml:space="preserve">Even in the worst region the same pattern holds. Shipping mode dominates (First Class 100%, Second Class 82.8%), followed by payment-related order states: PAYMENT_REVIEW orders are late 80.0% of the time and PENDING orders 69.1%. Payment type (PAYMENT 63.6%, TRANSFER 63.3%) and the Outdoors (61.3%) and Golf (60.8%) departments follow.</w:t>
      </w:r>
    </w:p>
    <w:p>
      <w:pPr>
        <w:keepNext/>
        <w:spacing w:after="80" w:before="180"/>
      </w:pPr>
      <w:r>
        <w:rPr>
          <w:rFonts w:ascii="Arial" w:cs="Arial" w:eastAsia="Arial" w:hAnsi="Arial"/>
          <w:b/>
          <w:bCs/>
          <w:color w:val="1B2A4A"/>
          <w:sz w:val="22"/>
          <w:szCs w:val="22"/>
        </w:rPr>
        <w:t xml:space="preserve">Root cause ranking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626"/>
        <w:gridCol w:w="1400"/>
      </w:tblGrid>
      <w:tr>
        <w:trPr>
          <w:cantSplit/>
          <w:tblHeader/>
        </w:trPr>
        <w:tc>
          <w:tcPr>
            <w:tcW w:type="dxa" w:w="5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9"/>
                <w:szCs w:val="19"/>
              </w:rPr>
              <w:t xml:space="preserve">#</w:t>
            </w:r>
          </w:p>
        </w:tc>
        <w:tc>
          <w:tcPr>
            <w:tcW w:type="dxa" w:w="25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Root cause</w:t>
            </w:r>
          </w:p>
        </w:tc>
        <w:tc>
          <w:tcPr>
            <w:tcW w:type="dxa" w:w="4626"/>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Evidence</w:t>
            </w:r>
          </w:p>
        </w:tc>
        <w:tc>
          <w:tcPr>
            <w:tcW w:type="dxa" w:w="14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Strength</w:t>
            </w:r>
          </w:p>
        </w:tc>
      </w:tr>
      <w:tr>
        <w:trPr>
          <w:cantSplit/>
        </w:trPr>
        <w:tc>
          <w:tcPr>
            <w:tcW w:type="dxa" w:w="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center"/>
            </w:pPr>
            <w:r>
              <w:rPr>
                <w:rFonts w:ascii="Arial" w:cs="Arial" w:eastAsia="Arial" w:hAnsi="Arial"/>
                <w:color w:val="1F2937"/>
                <w:sz w:val="19"/>
                <w:szCs w:val="19"/>
              </w:rPr>
              <w:t xml:space="preserve">1</w:t>
            </w:r>
          </w:p>
        </w:tc>
        <w:tc>
          <w:tcPr>
            <w:tcW w:type="dxa" w:w="2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Shipping mode misconfiguration</w:t>
            </w:r>
          </w:p>
        </w:tc>
        <w:tc>
          <w:tcPr>
            <w:tcW w:type="dxa" w:w="46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First Class 100% late, Second Class 79.8%; premium modes cause ≈ 57% of late orders.</w:t>
            </w:r>
          </w:p>
        </w:tc>
        <w:tc>
          <w:tcPr>
            <w:tcW w:type="dxa" w:w="1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800000"/>
                <w:sz w:val="19"/>
                <w:szCs w:val="19"/>
              </w:rPr>
              <w:t xml:space="preserve">Dominant</w:t>
            </w:r>
          </w:p>
        </w:tc>
      </w:tr>
      <w:tr>
        <w:trPr>
          <w:cantSplit/>
        </w:trPr>
        <w:tc>
          <w:tcPr>
            <w:tcW w:type="dxa" w:w="5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color w:val="1F2937"/>
                <w:sz w:val="19"/>
                <w:szCs w:val="19"/>
              </w:rPr>
              <w:t xml:space="preserve">2</w:t>
            </w:r>
          </w:p>
        </w:tc>
        <w:tc>
          <w:tcPr>
            <w:tcW w:type="dxa" w:w="25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Payment processing friction</w:t>
            </w:r>
          </w:p>
        </w:tc>
        <w:tc>
          <w:tcPr>
            <w:tcW w:type="dxa" w:w="46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PAYMENT_REVIEW 55.3% overall but 80.0% in Central Africa; PENDING 69.1% in Central Africa.</w:t>
            </w:r>
          </w:p>
        </w:tc>
        <w:tc>
          <w:tcPr>
            <w:tcW w:type="dxa" w:w="14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F0A30A"/>
                <w:sz w:val="19"/>
                <w:szCs w:val="19"/>
              </w:rPr>
              <w:t xml:space="preserve">Secondary</w:t>
            </w:r>
          </w:p>
        </w:tc>
      </w:tr>
      <w:tr>
        <w:trPr>
          <w:cantSplit/>
        </w:trPr>
        <w:tc>
          <w:tcPr>
            <w:tcW w:type="dxa" w:w="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center"/>
            </w:pPr>
            <w:r>
              <w:rPr>
                <w:rFonts w:ascii="Arial" w:cs="Arial" w:eastAsia="Arial" w:hAnsi="Arial"/>
                <w:color w:val="1F2937"/>
                <w:sz w:val="19"/>
                <w:szCs w:val="19"/>
              </w:rPr>
              <w:t xml:space="preserve">3</w:t>
            </w:r>
          </w:p>
        </w:tc>
        <w:tc>
          <w:tcPr>
            <w:tcW w:type="dxa" w:w="2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Geographic disparity</w:t>
            </w:r>
          </w:p>
        </w:tc>
        <w:tc>
          <w:tcPr>
            <w:tcW w:type="dxa" w:w="46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Central Africa 58.7% vs. 55–56% elsewhere; gap of roughly 3–4 pts.</w:t>
            </w:r>
          </w:p>
        </w:tc>
        <w:tc>
          <w:tcPr>
            <w:tcW w:type="dxa" w:w="1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F0A30A"/>
                <w:sz w:val="19"/>
                <w:szCs w:val="19"/>
              </w:rPr>
              <w:t xml:space="preserve">Secondary</w:t>
            </w:r>
          </w:p>
        </w:tc>
      </w:tr>
      <w:tr>
        <w:trPr>
          <w:cantSplit/>
        </w:trPr>
        <w:tc>
          <w:tcPr>
            <w:tcW w:type="dxa" w:w="5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color w:val="1F2937"/>
                <w:sz w:val="19"/>
                <w:szCs w:val="19"/>
              </w:rPr>
              <w:t xml:space="preserve">4</w:t>
            </w:r>
          </w:p>
        </w:tc>
        <w:tc>
          <w:tcPr>
            <w:tcW w:type="dxa" w:w="25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Seasonal peaks</w:t>
            </w:r>
          </w:p>
        </w:tc>
        <w:tc>
          <w:tcPr>
            <w:tcW w:type="dxa" w:w="46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Aug–Sep 55.4% and Dec 55.2% vs. 53.7% low in July.</w:t>
            </w:r>
          </w:p>
        </w:tc>
        <w:tc>
          <w:tcPr>
            <w:tcW w:type="dxa" w:w="14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2A8C82"/>
                <w:sz w:val="19"/>
                <w:szCs w:val="19"/>
              </w:rPr>
              <w:t xml:space="preserve">Minor</w:t>
            </w:r>
          </w:p>
        </w:tc>
      </w:tr>
      <w:tr>
        <w:trPr>
          <w:cantSplit/>
        </w:trPr>
        <w:tc>
          <w:tcPr>
            <w:tcW w:type="dxa" w:w="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center"/>
            </w:pPr>
            <w:r>
              <w:rPr>
                <w:rFonts w:ascii="Arial" w:cs="Arial" w:eastAsia="Arial" w:hAnsi="Arial"/>
                <w:color w:val="1F2937"/>
                <w:sz w:val="19"/>
                <w:szCs w:val="19"/>
              </w:rPr>
              <w:t xml:space="preserve">5</w:t>
            </w:r>
          </w:p>
        </w:tc>
        <w:tc>
          <w:tcPr>
            <w:tcW w:type="dxa" w:w="2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Product department</w:t>
            </w:r>
          </w:p>
        </w:tc>
        <w:tc>
          <w:tcPr>
            <w:tcW w:type="dxa" w:w="46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Health and Beauty 56.9%, Pet Shop 56.6% vs. 54.0% lowest.</w:t>
            </w:r>
          </w:p>
        </w:tc>
        <w:tc>
          <w:tcPr>
            <w:tcW w:type="dxa" w:w="1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2A8C82"/>
                <w:sz w:val="19"/>
                <w:szCs w:val="19"/>
              </w:rPr>
              <w:t xml:space="preserve">Minor</w:t>
            </w:r>
          </w:p>
        </w:tc>
      </w:tr>
    </w:tbl>
    <w:p>
      <w:pPr>
        <w:spacing w:after="100"/>
      </w:pPr>
    </w:p>
    <w:p>
      <w:pPr>
        <w:keepLines/>
        <w:spacing w:after="120" w:before="0" w:line="276"/>
      </w:pPr>
      <w:r>
        <w:rPr>
          <w:rFonts w:ascii="Arial" w:cs="Arial" w:eastAsia="Arial" w:hAnsi="Arial"/>
          <w:i/>
          <w:iCs/>
          <w:color w:val="6B7280"/>
          <w:sz w:val="19"/>
          <w:szCs w:val="19"/>
        </w:rPr>
        <w:t xml:space="preserve">Caution: order status is a snapshot at the time of extraction, and some regional segments (for example PAYMENT_REVIEW, only 1,893 orders company-wide) are small. Order counts per factor level should be checked before acting on the most extreme percentages.</w:t>
      </w:r>
    </w:p>
    <w:p>
      <w:pPr>
        <w:pStyle w:val="Heading1"/>
        <w:keepNext/>
        <w:pageBreakBefore/>
        <w:pBdr>
          <w:bottom w:val="single" w:color="2A8C82" w:sz="8" w:space="4"/>
        </w:pBdr>
        <w:spacing w:after="160" w:before="0"/>
      </w:pPr>
      <w:r>
        <w:rPr>
          <w:rFonts w:ascii="Arial" w:cs="Arial" w:eastAsia="Arial" w:hAnsi="Arial"/>
          <w:b/>
          <w:bCs/>
          <w:color w:val="1B2A4A"/>
          <w:sz w:val="36"/>
          <w:szCs w:val="36"/>
        </w:rPr>
        <w:t xml:space="preserve">7. Time-Based Delay Patterns</w:t>
      </w:r>
    </w:p>
    <w:p>
      <w:pPr>
        <w:keepLines/>
        <w:spacing w:after="120" w:before="0" w:line="276"/>
      </w:pPr>
      <w:r>
        <w:rPr>
          <w:rFonts w:ascii="Arial" w:cs="Arial" w:eastAsia="Arial" w:hAnsi="Arial"/>
          <w:color w:val="1F2937"/>
          <w:sz w:val="21"/>
          <w:szCs w:val="21"/>
        </w:rPr>
        <w:t xml:space="preserve">Three temporal dimensions were analysed: month of year, day of week, and hour of day. While delay rates are relatively stable across all dimensions (roughly 52–57%), specific peaks highlight opportunities for targeted capacity planning.</w:t>
      </w:r>
    </w:p>
    <w:p>
      <w:pPr>
        <w:keepNext/>
        <w:spacing w:after="60" w:before="80"/>
        <w:jc w:val="center"/>
      </w:pPr>
      <w:r>
        <w:drawing>
          <wp:inline distT="0" distB="0" distL="0" distR="0">
            <wp:extent cx="5715000" cy="1885950"/>
            <wp:effectExtent t="0" r="0" b="0" l="0"/>
            <wp:docPr id="1" name="cell28.png" descr="Figure 6: Delay % by month (left), day of week (centre) and hour of day (right)" title="Figure 6: Delay % by month (left), day of week (centre) and hour of day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885950"/>
                    </a:xfrm>
                    <a:prstGeom prst="rect">
                      <a:avLst/>
                    </a:prstGeom>
                  </pic:spPr>
                </pic:pic>
              </a:graphicData>
            </a:graphic>
          </wp:inline>
        </w:drawing>
      </w:r>
    </w:p>
    <w:p>
      <w:pPr>
        <w:spacing w:after="160"/>
        <w:jc w:val="center"/>
      </w:pPr>
      <w:r>
        <w:rPr>
          <w:rFonts w:ascii="Arial" w:cs="Arial" w:eastAsia="Arial" w:hAnsi="Arial"/>
          <w:i/>
          <w:iCs/>
          <w:color w:val="6B7280"/>
          <w:sz w:val="18"/>
          <w:szCs w:val="18"/>
        </w:rPr>
        <w:t xml:space="preserve">Figure 6: Delay % by month (left), day of week (centre) and hour of day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000"/>
        <w:gridCol w:w="2526"/>
      </w:tblGrid>
      <w:tr>
        <w:trPr>
          <w:cantSplit/>
          <w:tblHeader/>
        </w:trPr>
        <w:tc>
          <w:tcPr>
            <w:tcW w:type="dxa" w:w="15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Dimension</w:t>
            </w:r>
          </w:p>
        </w:tc>
        <w:tc>
          <w:tcPr>
            <w:tcW w:type="dxa" w:w="30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Peak periods (delay %)</w:t>
            </w:r>
          </w:p>
        </w:tc>
        <w:tc>
          <w:tcPr>
            <w:tcW w:type="dxa" w:w="20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Lowest period (approx.)</w:t>
            </w:r>
          </w:p>
        </w:tc>
        <w:tc>
          <w:tcPr>
            <w:tcW w:type="dxa" w:w="2526"/>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Reading</w:t>
            </w:r>
          </w:p>
        </w:tc>
      </w:tr>
      <w:tr>
        <w:trPr>
          <w:cantSplit/>
        </w:trPr>
        <w:tc>
          <w:tcPr>
            <w:tcW w:type="dxa" w:w="1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Month</w:t>
            </w:r>
          </w:p>
        </w:tc>
        <w:tc>
          <w:tcPr>
            <w:tcW w:type="dxa" w:w="3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Aug 55.4%, Sep 55.4%, Dec 55.2%</w:t>
            </w:r>
          </w:p>
        </w:tc>
        <w:tc>
          <w:tcPr>
            <w:tcW w:type="dxa" w:w="2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Jul ≈ 53.7%</w:t>
            </w:r>
          </w:p>
        </w:tc>
        <w:tc>
          <w:tcPr>
            <w:tcW w:type="dxa" w:w="25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Late-summer and December peaks, about 1.7 pts above July.</w:t>
            </w:r>
          </w:p>
        </w:tc>
      </w:tr>
      <w:tr>
        <w:trPr>
          <w:cantSplit/>
        </w:trPr>
        <w:tc>
          <w:tcPr>
            <w:tcW w:type="dxa" w:w="15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Day of week</w:t>
            </w:r>
          </w:p>
        </w:tc>
        <w:tc>
          <w:tcPr>
            <w:tcW w:type="dxa" w:w="30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Mon 55.5%, Sun 55.2%, Wed 54.8%</w:t>
            </w:r>
          </w:p>
        </w:tc>
        <w:tc>
          <w:tcPr>
            <w:tcW w:type="dxa" w:w="20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Tue / Sat ≈ 54%</w:t>
            </w:r>
          </w:p>
        </w:tc>
        <w:tc>
          <w:tcPr>
            <w:tcW w:type="dxa" w:w="25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Essentially flat; a spread of about 1.5 pts.</w:t>
            </w:r>
          </w:p>
        </w:tc>
      </w:tr>
      <w:tr>
        <w:trPr>
          <w:cantSplit/>
        </w:trPr>
        <w:tc>
          <w:tcPr>
            <w:tcW w:type="dxa" w:w="1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Hour of day</w:t>
            </w:r>
          </w:p>
        </w:tc>
        <w:tc>
          <w:tcPr>
            <w:tcW w:type="dxa" w:w="3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20:00 57.1%, 12:00 56.7%, 14:00 56.0%</w:t>
            </w:r>
          </w:p>
        </w:tc>
        <w:tc>
          <w:tcPr>
            <w:tcW w:type="dxa" w:w="2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19:00 ≈ 51.9%</w:t>
            </w:r>
          </w:p>
        </w:tc>
        <w:tc>
          <w:tcPr>
            <w:tcW w:type="dxa" w:w="25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Largest swings; midday and evening order peaks.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rPr>
        <w:tc>
          <w:tcPr>
            <w:tcW w:type="dxa" w:w="2500"/>
            <w:tcBorders>
              <w:top w:val="single" w:color="2A8C82" w:sz="4"/>
              <w:left w:val="single" w:color="2A8C82" w:sz="18"/>
              <w:bottom w:val="single" w:color="2A8C82" w:sz="4"/>
              <w:right w:val="none" w:color="FFFFFF" w:sz="0"/>
            </w:tcBorders>
            <w:tcMar>
              <w:top w:type="dxa" w:w="90"/>
              <w:left w:type="dxa" w:w="130"/>
              <w:bottom w:type="dxa" w:w="90"/>
              <w:right w:type="dxa" w:w="90"/>
            </w:tcMar>
          </w:tcPr>
          <w:p>
            <w:pPr>
              <w:spacing w:after="0"/>
            </w:pPr>
            <w:r>
              <w:rPr>
                <w:rFonts w:ascii="Arial" w:cs="Arial" w:eastAsia="Arial" w:hAnsi="Arial"/>
                <w:b/>
                <w:bCs/>
                <w:color w:val="1B2A4A"/>
                <w:sz w:val="20"/>
                <w:szCs w:val="20"/>
              </w:rPr>
              <w:t xml:space="preserve">● Planning implication</w:t>
            </w:r>
          </w:p>
        </w:tc>
        <w:tc>
          <w:tcPr>
            <w:tcW w:type="dxa" w:w="6526"/>
            <w:tcBorders>
              <w:top w:val="single" w:color="2A8C82" w:sz="4"/>
              <w:left w:val="single" w:color="2A8C82" w:sz="4"/>
              <w:bottom w:val="single" w:color="2A8C82" w:sz="4"/>
              <w:right w:val="single" w:color="2A8C82" w:sz="4"/>
            </w:tcBorders>
            <w:tcMar>
              <w:top w:type="dxa" w:w="90"/>
              <w:left w:type="dxa" w:w="130"/>
              <w:bottom w:type="dxa" w:w="90"/>
              <w:right w:type="dxa" w:w="110"/>
            </w:tcMar>
          </w:tcPr>
          <w:p>
            <w:pPr>
              <w:spacing w:after="0" w:line="260"/>
            </w:pPr>
            <w:r>
              <w:rPr>
                <w:rFonts w:ascii="Arial" w:cs="Arial" w:eastAsia="Arial" w:hAnsi="Arial"/>
                <w:color w:val="1F2937"/>
                <w:sz w:val="19"/>
                <w:szCs w:val="19"/>
              </w:rPr>
              <w:t xml:space="preserve">Temporal effects are mild compared with shipping mode (about 2–5 pts versus up to 100 pts). Seasonal capacity measures should be treated as fine-tuning, to be done after the shipping-mode problem is resolved. The sharp one-hour jump between 19:00 and 20:00 is likely partly sampling noise and should be validated before building hour-specific rules.</w:t>
            </w:r>
          </w:p>
        </w:tc>
      </w:tr>
    </w:tbl>
    <w:p>
      <w:pPr>
        <w:pStyle w:val="Heading1"/>
        <w:keepNext/>
        <w:pageBreakBefore/>
        <w:pBdr>
          <w:bottom w:val="single" w:color="2A8C82" w:sz="8" w:space="4"/>
        </w:pBdr>
        <w:spacing w:after="160" w:before="0"/>
      </w:pPr>
      <w:r>
        <w:rPr>
          <w:rFonts w:ascii="Arial" w:cs="Arial" w:eastAsia="Arial" w:hAnsi="Arial"/>
          <w:b/>
          <w:bCs/>
          <w:color w:val="1B2A4A"/>
          <w:sz w:val="36"/>
          <w:szCs w:val="36"/>
        </w:rPr>
        <w:t xml:space="preserve">8. Machine Learning Model Results</w:t>
      </w:r>
    </w:p>
    <w:p>
      <w:pPr>
        <w:keepLines/>
        <w:spacing w:after="120" w:before="0" w:line="276"/>
      </w:pPr>
      <w:r>
        <w:rPr>
          <w:rFonts w:ascii="Arial" w:cs="Arial" w:eastAsia="Arial" w:hAnsi="Arial"/>
          <w:color w:val="1F2937"/>
          <w:sz w:val="21"/>
          <w:szCs w:val="21"/>
        </w:rPr>
        <w:t xml:space="preserve">A supervised classification model was built to predict whether an individual order will be delivered late (Late_delivery_risk = 1). The pipeline included frequency encoding of categorical variables, a stratified train/test split, SMOTE oversampling to address class imbalance, and Random Forest classification.</w:t>
      </w:r>
    </w:p>
    <w:p>
      <w:pPr>
        <w:pStyle w:val="Heading2"/>
        <w:keepNext/>
        <w:spacing w:after="100" w:before="260"/>
      </w:pPr>
      <w:r>
        <w:rPr>
          <w:rFonts w:ascii="Arial" w:cs="Arial" w:eastAsia="Arial" w:hAnsi="Arial"/>
          <w:b/>
          <w:bCs/>
          <w:color w:val="2A8C82"/>
          <w:sz w:val="27"/>
          <w:szCs w:val="27"/>
        </w:rPr>
        <w:t xml:space="preserve">Model inputs and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Item</w:t>
            </w:r>
          </w:p>
        </w:tc>
        <w:tc>
          <w:tcPr>
            <w:tcW w:type="dxa" w:w="7026"/>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Detail</w:t>
            </w:r>
          </w:p>
        </w:tc>
      </w:tr>
      <w:tr>
        <w:trPr>
          <w:cantSplit/>
        </w:trPr>
        <w:tc>
          <w:tcPr>
            <w:tcW w:type="dxa" w:w="2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Features (9)</w:t>
            </w:r>
          </w:p>
        </w:tc>
        <w:tc>
          <w:tcPr>
            <w:tcW w:type="dxa" w:w="70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Scheduled shipment days, order month, order hour, and frequency-encoded Type, Category Name, Customer Segment, Department Name, Order Region and Shipping Mode.</w:t>
            </w:r>
          </w:p>
        </w:tc>
      </w:tr>
      <w:tr>
        <w:trPr>
          <w:cantSplit/>
        </w:trPr>
        <w:tc>
          <w:tcPr>
            <w:tcW w:type="dxa" w:w="20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Target</w:t>
            </w:r>
          </w:p>
        </w:tc>
        <w:tc>
          <w:tcPr>
            <w:tcW w:type="dxa" w:w="70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Late_delivery_risk (1 = late: 98,977 orders, 57.3%; 0 = on time: 73,788 orders, 42.7%).</w:t>
            </w:r>
          </w:p>
        </w:tc>
      </w:tr>
      <w:tr>
        <w:trPr>
          <w:cantSplit/>
        </w:trPr>
        <w:tc>
          <w:tcPr>
            <w:tcW w:type="dxa" w:w="20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Split</w:t>
            </w:r>
          </w:p>
        </w:tc>
        <w:tc>
          <w:tcPr>
            <w:tcW w:type="dxa" w:w="70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80% train (138,212 orders) / 20% test (34,553 orders), stratified, random_state = 42.</w:t>
            </w:r>
          </w:p>
        </w:tc>
      </w:tr>
      <w:tr>
        <w:trPr>
          <w:cantSplit/>
        </w:trPr>
        <w:tc>
          <w:tcPr>
            <w:tcW w:type="dxa" w:w="20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Algorithm</w:t>
            </w:r>
          </w:p>
        </w:tc>
        <w:tc>
          <w:tcPr>
            <w:tcW w:type="dxa" w:w="70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Random Forest Classifier with default scikit-learn settings, trained on the SMOTE-balanced training set.</w:t>
            </w:r>
          </w:p>
        </w:tc>
      </w:tr>
    </w:tbl>
    <w:p>
      <w:pPr>
        <w:keepNext/>
        <w:spacing w:after="80" w:before="180"/>
      </w:pPr>
      <w:r>
        <w:rPr>
          <w:rFonts w:ascii="Arial" w:cs="Arial" w:eastAsia="Arial" w:hAnsi="Arial"/>
          <w:b/>
          <w:bCs/>
          <w:color w:val="1B2A4A"/>
          <w:sz w:val="22"/>
          <w:szCs w:val="22"/>
        </w:rPr>
        <w:t xml:space="preserve">Class Imbalance Handling (SMOTE)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rPr>
          <w:cantSplit/>
          <w:tblHeader/>
        </w:trPr>
        <w:tc>
          <w:tcPr>
            <w:tcW w:type="dxa" w:w="36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Split</w:t>
            </w:r>
          </w:p>
        </w:tc>
        <w:tc>
          <w:tcPr>
            <w:tcW w:type="dxa" w:w="2713"/>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9"/>
                <w:szCs w:val="19"/>
              </w:rPr>
              <w:t xml:space="preserve">Class 0 (On-time)</w:t>
            </w:r>
          </w:p>
        </w:tc>
        <w:tc>
          <w:tcPr>
            <w:tcW w:type="dxa" w:w="2713"/>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9"/>
                <w:szCs w:val="19"/>
              </w:rPr>
              <w:t xml:space="preserve">Class 1 (Late)</w:t>
            </w:r>
          </w:p>
        </w:tc>
      </w:tr>
      <w:tr>
        <w:trPr>
          <w:cantSplit/>
        </w:trPr>
        <w:tc>
          <w:tcPr>
            <w:tcW w:type="dxa" w:w="36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Before SMOTE (train)</w:t>
            </w:r>
          </w:p>
        </w:tc>
        <w:tc>
          <w:tcPr>
            <w:tcW w:type="dxa" w:w="2713"/>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59,030</w:t>
            </w:r>
          </w:p>
        </w:tc>
        <w:tc>
          <w:tcPr>
            <w:tcW w:type="dxa" w:w="2713"/>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79,182</w:t>
            </w:r>
          </w:p>
        </w:tc>
      </w:tr>
      <w:tr>
        <w:trPr>
          <w:cantSplit/>
        </w:trPr>
        <w:tc>
          <w:tcPr>
            <w:tcW w:type="dxa" w:w="36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After SMOTE (train)</w:t>
            </w:r>
          </w:p>
        </w:tc>
        <w:tc>
          <w:tcPr>
            <w:tcW w:type="dxa" w:w="2713"/>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79,182</w:t>
            </w:r>
          </w:p>
        </w:tc>
        <w:tc>
          <w:tcPr>
            <w:tcW w:type="dxa" w:w="2713"/>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79,182</w:t>
            </w:r>
          </w:p>
        </w:tc>
      </w:tr>
    </w:tbl>
    <w:p>
      <w:pPr>
        <w:spacing w:after="60"/>
      </w:pPr>
    </w:p>
    <w:p>
      <w:pPr>
        <w:spacing w:after="140"/>
      </w:pPr>
      <w:r>
        <w:rPr>
          <w:rFonts w:ascii="Arial" w:cs="Arial" w:eastAsia="Arial" w:hAnsi="Arial"/>
          <w:i/>
          <w:iCs/>
          <w:color w:val="6B7280"/>
          <w:sz w:val="17"/>
          <w:szCs w:val="17"/>
        </w:rPr>
        <w:t xml:space="preserve">SMOTE was applied to the training set only; the test set keeps the natural class mix.</w:t>
      </w:r>
    </w:p>
    <w:p>
      <w:pPr>
        <w:keepNext/>
        <w:spacing w:after="80" w:before="180"/>
      </w:pPr>
      <w:r>
        <w:rPr>
          <w:rFonts w:ascii="Arial" w:cs="Arial" w:eastAsia="Arial" w:hAnsi="Arial"/>
          <w:b/>
          <w:bCs/>
          <w:color w:val="1B2A4A"/>
          <w:sz w:val="22"/>
          <w:szCs w:val="22"/>
        </w:rPr>
        <w:t xml:space="preserve">Random Forest Classifier – Test Set Performance (34,553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cantSplit/>
          <w:tblHeader/>
        </w:trPr>
        <w:tc>
          <w:tcPr>
            <w:tcW w:type="dxa" w:w="24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Metric</w:t>
            </w:r>
          </w:p>
        </w:tc>
        <w:tc>
          <w:tcPr>
            <w:tcW w:type="dxa" w:w="22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9"/>
                <w:szCs w:val="19"/>
              </w:rPr>
              <w:t xml:space="preserve">Class 0 (On-time)</w:t>
            </w:r>
          </w:p>
        </w:tc>
        <w:tc>
          <w:tcPr>
            <w:tcW w:type="dxa" w:w="22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9"/>
                <w:szCs w:val="19"/>
              </w:rPr>
              <w:t xml:space="preserve">Class 1 (Late)</w:t>
            </w:r>
          </w:p>
        </w:tc>
        <w:tc>
          <w:tcPr>
            <w:tcW w:type="dxa" w:w="2226"/>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9"/>
                <w:szCs w:val="19"/>
              </w:rPr>
              <w:t xml:space="preserve">Overall (Weighted)</w:t>
            </w:r>
          </w:p>
        </w:tc>
      </w:tr>
      <w:tr>
        <w:trPr>
          <w:cantSplit/>
        </w:trPr>
        <w:tc>
          <w:tcPr>
            <w:tcW w:type="dxa" w:w="2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Precision</w:t>
            </w:r>
          </w:p>
        </w:tc>
        <w:tc>
          <w:tcPr>
            <w:tcW w:type="dxa" w:w="22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center"/>
            </w:pPr>
            <w:r>
              <w:rPr>
                <w:rFonts w:ascii="Arial" w:cs="Arial" w:eastAsia="Arial" w:hAnsi="Arial"/>
                <w:color w:val="1F2937"/>
                <w:sz w:val="19"/>
                <w:szCs w:val="19"/>
              </w:rPr>
              <w:t xml:space="preserve">0.68</w:t>
            </w:r>
          </w:p>
        </w:tc>
        <w:tc>
          <w:tcPr>
            <w:tcW w:type="dxa" w:w="22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center"/>
            </w:pPr>
            <w:r>
              <w:rPr>
                <w:rFonts w:ascii="Arial" w:cs="Arial" w:eastAsia="Arial" w:hAnsi="Arial"/>
                <w:color w:val="1F2937"/>
                <w:sz w:val="19"/>
                <w:szCs w:val="19"/>
              </w:rPr>
              <w:t xml:space="preserve">0.79</w:t>
            </w:r>
          </w:p>
        </w:tc>
        <w:tc>
          <w:tcPr>
            <w:tcW w:type="dxa" w:w="22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2A8C82"/>
                <w:sz w:val="19"/>
                <w:szCs w:val="19"/>
              </w:rPr>
              <w:t xml:space="preserve">0.74</w:t>
            </w:r>
          </w:p>
        </w:tc>
      </w:tr>
      <w:tr>
        <w:trPr>
          <w:cantSplit/>
        </w:trPr>
        <w:tc>
          <w:tcPr>
            <w:tcW w:type="dxa" w:w="24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Recall</w:t>
            </w:r>
          </w:p>
        </w:tc>
        <w:tc>
          <w:tcPr>
            <w:tcW w:type="dxa" w:w="22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color w:val="1F2937"/>
                <w:sz w:val="19"/>
                <w:szCs w:val="19"/>
              </w:rPr>
              <w:t xml:space="preserve">0.73</w:t>
            </w:r>
          </w:p>
        </w:tc>
        <w:tc>
          <w:tcPr>
            <w:tcW w:type="dxa" w:w="22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color w:val="1F2937"/>
                <w:sz w:val="19"/>
                <w:szCs w:val="19"/>
              </w:rPr>
              <w:t xml:space="preserve">0.75</w:t>
            </w:r>
          </w:p>
        </w:tc>
        <w:tc>
          <w:tcPr>
            <w:tcW w:type="dxa" w:w="22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2A8C82"/>
                <w:sz w:val="19"/>
                <w:szCs w:val="19"/>
              </w:rPr>
              <w:t xml:space="preserve">0.74</w:t>
            </w:r>
          </w:p>
        </w:tc>
      </w:tr>
      <w:tr>
        <w:trPr>
          <w:cantSplit/>
        </w:trPr>
        <w:tc>
          <w:tcPr>
            <w:tcW w:type="dxa" w:w="2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F1-Score</w:t>
            </w:r>
          </w:p>
        </w:tc>
        <w:tc>
          <w:tcPr>
            <w:tcW w:type="dxa" w:w="22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center"/>
            </w:pPr>
            <w:r>
              <w:rPr>
                <w:rFonts w:ascii="Arial" w:cs="Arial" w:eastAsia="Arial" w:hAnsi="Arial"/>
                <w:color w:val="1F2937"/>
                <w:sz w:val="19"/>
                <w:szCs w:val="19"/>
              </w:rPr>
              <w:t xml:space="preserve">0.70</w:t>
            </w:r>
          </w:p>
        </w:tc>
        <w:tc>
          <w:tcPr>
            <w:tcW w:type="dxa" w:w="22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center"/>
            </w:pPr>
            <w:r>
              <w:rPr>
                <w:rFonts w:ascii="Arial" w:cs="Arial" w:eastAsia="Arial" w:hAnsi="Arial"/>
                <w:color w:val="1F2937"/>
                <w:sz w:val="19"/>
                <w:szCs w:val="19"/>
              </w:rPr>
              <w:t xml:space="preserve">0.77</w:t>
            </w:r>
          </w:p>
        </w:tc>
        <w:tc>
          <w:tcPr>
            <w:tcW w:type="dxa" w:w="22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2A8C82"/>
                <w:sz w:val="19"/>
                <w:szCs w:val="19"/>
              </w:rPr>
              <w:t xml:space="preserve">0.74</w:t>
            </w:r>
          </w:p>
        </w:tc>
      </w:tr>
      <w:tr>
        <w:trPr>
          <w:cantSplit/>
        </w:trPr>
        <w:tc>
          <w:tcPr>
            <w:tcW w:type="dxa" w:w="24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Accuracy</w:t>
            </w:r>
          </w:p>
        </w:tc>
        <w:tc>
          <w:tcPr>
            <w:tcW w:type="dxa" w:w="22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color w:val="1F2937"/>
                <w:sz w:val="19"/>
                <w:szCs w:val="19"/>
              </w:rPr>
              <w:t xml:space="preserve">—</w:t>
            </w:r>
          </w:p>
        </w:tc>
        <w:tc>
          <w:tcPr>
            <w:tcW w:type="dxa" w:w="22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color w:val="1F2937"/>
                <w:sz w:val="19"/>
                <w:szCs w:val="19"/>
              </w:rPr>
              <w:t xml:space="preserve">—</w:t>
            </w:r>
          </w:p>
        </w:tc>
        <w:tc>
          <w:tcPr>
            <w:tcW w:type="dxa" w:w="22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2A8C82"/>
                <w:sz w:val="19"/>
                <w:szCs w:val="19"/>
              </w:rPr>
              <w:t xml:space="preserve">0.74</w:t>
            </w:r>
          </w:p>
        </w:tc>
      </w:tr>
      <w:tr>
        <w:trPr>
          <w:cantSplit/>
        </w:trPr>
        <w:tc>
          <w:tcPr>
            <w:tcW w:type="dxa" w:w="2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Support</w:t>
            </w:r>
          </w:p>
        </w:tc>
        <w:tc>
          <w:tcPr>
            <w:tcW w:type="dxa" w:w="22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center"/>
            </w:pPr>
            <w:r>
              <w:rPr>
                <w:rFonts w:ascii="Arial" w:cs="Arial" w:eastAsia="Arial" w:hAnsi="Arial"/>
                <w:color w:val="1F2937"/>
                <w:sz w:val="19"/>
                <w:szCs w:val="19"/>
              </w:rPr>
              <w:t xml:space="preserve">14,758</w:t>
            </w:r>
          </w:p>
        </w:tc>
        <w:tc>
          <w:tcPr>
            <w:tcW w:type="dxa" w:w="22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center"/>
            </w:pPr>
            <w:r>
              <w:rPr>
                <w:rFonts w:ascii="Arial" w:cs="Arial" w:eastAsia="Arial" w:hAnsi="Arial"/>
                <w:color w:val="1F2937"/>
                <w:sz w:val="19"/>
                <w:szCs w:val="19"/>
              </w:rPr>
              <w:t xml:space="preserve">19,795</w:t>
            </w:r>
          </w:p>
        </w:tc>
        <w:tc>
          <w:tcPr>
            <w:tcW w:type="dxa" w:w="22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2A8C82"/>
                <w:sz w:val="19"/>
                <w:szCs w:val="19"/>
              </w:rPr>
              <w:t xml:space="preserve">34,553</w:t>
            </w:r>
          </w:p>
        </w:tc>
      </w:tr>
    </w:tbl>
    <w:p>
      <w:pPr>
        <w:spacing w:after="160"/>
      </w:pPr>
    </w:p>
    <w:p>
      <w:pPr>
        <w:keepNext/>
        <w:pageBreakBefore/>
        <w:spacing w:after="80" w:before="180"/>
      </w:pPr>
      <w:r>
        <w:rPr>
          <w:rFonts w:ascii="Arial" w:cs="Arial" w:eastAsia="Arial" w:hAnsi="Arial"/>
          <w:b/>
          <w:bCs/>
          <w:color w:val="1B2A4A"/>
          <w:sz w:val="22"/>
          <w:szCs w:val="22"/>
        </w:rPr>
        <w:t xml:space="preserve">Interpretation of the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rPr>
        <w:tc>
          <w:tcPr>
            <w:tcW w:type="dxa" w:w="2500"/>
            <w:tcBorders>
              <w:top w:val="single" w:color="2A8C82" w:sz="4"/>
              <w:left w:val="single" w:color="2A8C82" w:sz="18"/>
              <w:bottom w:val="single" w:color="2A8C82" w:sz="4"/>
              <w:right w:val="none" w:color="FFFFFF" w:sz="0"/>
            </w:tcBorders>
            <w:tcMar>
              <w:top w:type="dxa" w:w="90"/>
              <w:left w:type="dxa" w:w="130"/>
              <w:bottom w:type="dxa" w:w="90"/>
              <w:right w:type="dxa" w:w="90"/>
            </w:tcMar>
          </w:tcPr>
          <w:p>
            <w:pPr>
              <w:spacing w:after="0"/>
            </w:pPr>
            <w:r>
              <w:rPr>
                <w:rFonts w:ascii="Arial" w:cs="Arial" w:eastAsia="Arial" w:hAnsi="Arial"/>
                <w:b/>
                <w:bCs/>
                <w:color w:val="1B2A4A"/>
                <w:sz w:val="20"/>
                <w:szCs w:val="20"/>
              </w:rPr>
              <w:t xml:space="preserve">● 74% Overall Accuracy</w:t>
            </w:r>
          </w:p>
        </w:tc>
        <w:tc>
          <w:tcPr>
            <w:tcW w:type="dxa" w:w="6526"/>
            <w:tcBorders>
              <w:top w:val="single" w:color="2A8C82" w:sz="4"/>
              <w:left w:val="single" w:color="2A8C82" w:sz="4"/>
              <w:bottom w:val="single" w:color="2A8C82" w:sz="4"/>
              <w:right w:val="single" w:color="2A8C82" w:sz="4"/>
            </w:tcBorders>
            <w:tcMar>
              <w:top w:type="dxa" w:w="90"/>
              <w:left w:type="dxa" w:w="130"/>
              <w:bottom w:type="dxa" w:w="90"/>
              <w:right w:type="dxa" w:w="110"/>
            </w:tcMar>
          </w:tcPr>
          <w:p>
            <w:pPr>
              <w:spacing w:after="0" w:line="260"/>
            </w:pPr>
            <w:r>
              <w:rPr>
                <w:rFonts w:ascii="Arial" w:cs="Arial" w:eastAsia="Arial" w:hAnsi="Arial"/>
                <w:color w:val="1F2937"/>
                <w:sz w:val="19"/>
                <w:szCs w:val="19"/>
              </w:rPr>
              <w:t xml:space="preserve">The model correctly classifies nearly 3 in 4 orders — a strong foundation for production deployment as an order-level late-delivery alert system. For context, always predicting "late" would be right 57.3% of the time, so the model adds roughly 17 points of accuracy.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rPr>
        <w:tc>
          <w:tcPr>
            <w:tcW w:type="dxa" w:w="2500"/>
            <w:tcBorders>
              <w:top w:val="single" w:color="2A8C82" w:sz="4"/>
              <w:left w:val="single" w:color="2A8C82" w:sz="18"/>
              <w:bottom w:val="single" w:color="2A8C82" w:sz="4"/>
              <w:right w:val="none" w:color="FFFFFF" w:sz="0"/>
            </w:tcBorders>
            <w:tcMar>
              <w:top w:type="dxa" w:w="90"/>
              <w:left w:type="dxa" w:w="130"/>
              <w:bottom w:type="dxa" w:w="90"/>
              <w:right w:type="dxa" w:w="90"/>
            </w:tcMar>
          </w:tcPr>
          <w:p>
            <w:pPr>
              <w:spacing w:after="0"/>
            </w:pPr>
            <w:r>
              <w:rPr>
                <w:rFonts w:ascii="Arial" w:cs="Arial" w:eastAsia="Arial" w:hAnsi="Arial"/>
                <w:b/>
                <w:bCs/>
                <w:color w:val="1B2A4A"/>
                <w:sz w:val="20"/>
                <w:szCs w:val="20"/>
              </w:rPr>
              <w:t xml:space="preserve">● Higher Precision on Late Orders (0.79)</w:t>
            </w:r>
          </w:p>
        </w:tc>
        <w:tc>
          <w:tcPr>
            <w:tcW w:type="dxa" w:w="6526"/>
            <w:tcBorders>
              <w:top w:val="single" w:color="2A8C82" w:sz="4"/>
              <w:left w:val="single" w:color="2A8C82" w:sz="4"/>
              <w:bottom w:val="single" w:color="2A8C82" w:sz="4"/>
              <w:right w:val="single" w:color="2A8C82" w:sz="4"/>
            </w:tcBorders>
            <w:tcMar>
              <w:top w:type="dxa" w:w="90"/>
              <w:left w:type="dxa" w:w="130"/>
              <w:bottom w:type="dxa" w:w="90"/>
              <w:right w:type="dxa" w:w="110"/>
            </w:tcMar>
          </w:tcPr>
          <w:p>
            <w:pPr>
              <w:spacing w:after="0" w:line="260"/>
            </w:pPr>
            <w:r>
              <w:rPr>
                <w:rFonts w:ascii="Arial" w:cs="Arial" w:eastAsia="Arial" w:hAnsi="Arial"/>
                <w:color w:val="1F2937"/>
                <w:sz w:val="19"/>
                <w:szCs w:val="19"/>
              </w:rPr>
              <w:t xml:space="preserve">When the model predicts an order will be late, it is correct about 79% of the time — sufficient to trigger targeted interventions without generating excessive false alarms.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rPr>
        <w:tc>
          <w:tcPr>
            <w:tcW w:type="dxa" w:w="2500"/>
            <w:tcBorders>
              <w:top w:val="single" w:color="2A8C82" w:sz="4"/>
              <w:left w:val="single" w:color="2A8C82" w:sz="18"/>
              <w:bottom w:val="single" w:color="2A8C82" w:sz="4"/>
              <w:right w:val="none" w:color="FFFFFF" w:sz="0"/>
            </w:tcBorders>
            <w:tcMar>
              <w:top w:type="dxa" w:w="90"/>
              <w:left w:type="dxa" w:w="130"/>
              <w:bottom w:type="dxa" w:w="90"/>
              <w:right w:type="dxa" w:w="90"/>
            </w:tcMar>
          </w:tcPr>
          <w:p>
            <w:pPr>
              <w:spacing w:after="0"/>
            </w:pPr>
            <w:r>
              <w:rPr>
                <w:rFonts w:ascii="Arial" w:cs="Arial" w:eastAsia="Arial" w:hAnsi="Arial"/>
                <w:b/>
                <w:bCs/>
                <w:color w:val="1B2A4A"/>
                <w:sz w:val="20"/>
                <w:szCs w:val="20"/>
              </w:rPr>
              <w:t xml:space="preserve">● Recall for Late Orders at 0.75</w:t>
            </w:r>
          </w:p>
        </w:tc>
        <w:tc>
          <w:tcPr>
            <w:tcW w:type="dxa" w:w="6526"/>
            <w:tcBorders>
              <w:top w:val="single" w:color="2A8C82" w:sz="4"/>
              <w:left w:val="single" w:color="2A8C82" w:sz="4"/>
              <w:bottom w:val="single" w:color="2A8C82" w:sz="4"/>
              <w:right w:val="single" w:color="2A8C82" w:sz="4"/>
            </w:tcBorders>
            <w:tcMar>
              <w:top w:type="dxa" w:w="90"/>
              <w:left w:type="dxa" w:w="130"/>
              <w:bottom w:type="dxa" w:w="90"/>
              <w:right w:type="dxa" w:w="110"/>
            </w:tcMar>
          </w:tcPr>
          <w:p>
            <w:pPr>
              <w:spacing w:after="0" w:line="260"/>
            </w:pPr>
            <w:r>
              <w:rPr>
                <w:rFonts w:ascii="Arial" w:cs="Arial" w:eastAsia="Arial" w:hAnsi="Arial"/>
                <w:color w:val="1F2937"/>
                <w:sz w:val="19"/>
                <w:szCs w:val="19"/>
              </w:rPr>
              <w:t xml:space="preserve">The model captures 75% of actual late orders. The 25% miss rate is acceptable for a first-generation alert system, with clear improvement potential.</w:t>
            </w:r>
          </w:p>
        </w:tc>
      </w:tr>
    </w:tbl>
    <w:p>
      <w:pPr>
        <w:pStyle w:val="Heading2"/>
        <w:keepNext/>
        <w:spacing w:after="100" w:before="260"/>
      </w:pPr>
      <w:r>
        <w:rPr>
          <w:rFonts w:ascii="Arial" w:cs="Arial" w:eastAsia="Arial" w:hAnsi="Arial"/>
          <w:b/>
          <w:bCs/>
          <w:color w:val="2A8C82"/>
          <w:sz w:val="27"/>
          <w:szCs w:val="27"/>
        </w:rPr>
        <w:t xml:space="preserve">Limitations and model-governance notes</w:t>
      </w:r>
    </w:p>
    <w:p>
      <w:pPr>
        <w:pStyle w:val="ListParagraph"/>
        <w:keepLines/>
        <w:numPr>
          <w:ilvl w:val="0"/>
          <w:numId w:val="2"/>
        </w:numPr>
        <w:spacing w:after="70" w:line="270"/>
      </w:pPr>
      <w:r>
        <w:rPr>
          <w:rFonts w:ascii="Arial" w:cs="Arial" w:eastAsia="Arial" w:hAnsi="Arial"/>
          <w:b/>
          <w:bCs/>
          <w:color w:val="1F2937"/>
          <w:sz w:val="21"/>
          <w:szCs w:val="21"/>
        </w:rPr>
        <w:t xml:space="preserve">Likely reliance on shipping mode. </w:t>
      </w:r>
      <w:r>
        <w:rPr>
          <w:rFonts w:ascii="Arial" w:cs="Arial" w:eastAsia="Arial" w:hAnsi="Arial"/>
          <w:color w:val="1F2937"/>
          <w:sz w:val="21"/>
          <w:szCs w:val="21"/>
        </w:rPr>
        <w:t xml:space="preserve">Scheduled days map one-to-one to shipping mode, which is the dominant driver of delay. Feature importance should be reported to confirm how much of the 74% comes from this single signal and how much from other features.</w:t>
      </w:r>
    </w:p>
    <w:p>
      <w:pPr>
        <w:pStyle w:val="ListParagraph"/>
        <w:keepLines/>
        <w:numPr>
          <w:ilvl w:val="0"/>
          <w:numId w:val="2"/>
        </w:numPr>
        <w:spacing w:after="70" w:line="270"/>
      </w:pPr>
      <w:r>
        <w:rPr>
          <w:rFonts w:ascii="Arial" w:cs="Arial" w:eastAsia="Arial" w:hAnsi="Arial"/>
          <w:b/>
          <w:bCs/>
          <w:color w:val="1F2937"/>
          <w:sz w:val="21"/>
          <w:szCs w:val="21"/>
        </w:rPr>
        <w:t xml:space="preserve">Target definition. </w:t>
      </w:r>
      <w:r>
        <w:rPr>
          <w:rFonts w:ascii="Arial" w:cs="Arial" w:eastAsia="Arial" w:hAnsi="Arial"/>
          <w:color w:val="1F2937"/>
          <w:sz w:val="21"/>
          <w:szCs w:val="21"/>
        </w:rPr>
        <w:t xml:space="preserve">The model predicts the system flag Late_delivery_risk (57.3% late), which differs slightly from the computed Delay &gt; 0 used for the KPIs (54.7%). The two should be reconciled before deployment.</w:t>
      </w:r>
    </w:p>
    <w:p>
      <w:pPr>
        <w:pStyle w:val="ListParagraph"/>
        <w:keepLines/>
        <w:numPr>
          <w:ilvl w:val="0"/>
          <w:numId w:val="2"/>
        </w:numPr>
        <w:spacing w:after="70" w:line="270"/>
      </w:pPr>
      <w:r>
        <w:rPr>
          <w:rFonts w:ascii="Arial" w:cs="Arial" w:eastAsia="Arial" w:hAnsi="Arial"/>
          <w:b/>
          <w:bCs/>
          <w:color w:val="1F2937"/>
          <w:sz w:val="21"/>
          <w:szCs w:val="21"/>
        </w:rPr>
        <w:t xml:space="preserve">Single baseline run. </w:t>
      </w:r>
      <w:r>
        <w:rPr>
          <w:rFonts w:ascii="Arial" w:cs="Arial" w:eastAsia="Arial" w:hAnsi="Arial"/>
          <w:color w:val="1F2937"/>
          <w:sz w:val="21"/>
          <w:szCs w:val="21"/>
        </w:rPr>
        <w:t xml:space="preserve">Results come from one default-parameter Random Forest and one split. Cross-validation, hyper-parameter tuning and alternative models (for example gradient boosting) are needed to reach the 82% target.</w:t>
      </w:r>
    </w:p>
    <w:p>
      <w:pPr>
        <w:pStyle w:val="ListParagraph"/>
        <w:keepLines/>
        <w:numPr>
          <w:ilvl w:val="0"/>
          <w:numId w:val="2"/>
        </w:numPr>
        <w:spacing w:after="70" w:line="270"/>
      </w:pPr>
      <w:r>
        <w:rPr>
          <w:rFonts w:ascii="Arial" w:cs="Arial" w:eastAsia="Arial" w:hAnsi="Arial"/>
          <w:b/>
          <w:bCs/>
          <w:color w:val="1F2937"/>
          <w:sz w:val="21"/>
          <w:szCs w:val="21"/>
        </w:rPr>
        <w:t xml:space="preserve">Encoding. </w:t>
      </w:r>
      <w:r>
        <w:rPr>
          <w:rFonts w:ascii="Arial" w:cs="Arial" w:eastAsia="Arial" w:hAnsi="Arial"/>
          <w:color w:val="1F2937"/>
          <w:sz w:val="21"/>
          <w:szCs w:val="21"/>
        </w:rPr>
        <w:t xml:space="preserve">Frequency encoding was computed on the full dataset before the split. It does not use the target, so leakage risk is low, but it should be fitted on the training set only in production.</w:t>
      </w:r>
    </w:p>
    <w:p>
      <w:pPr>
        <w:pStyle w:val="Heading1"/>
        <w:keepNext/>
        <w:pageBreakBefore/>
        <w:pBdr>
          <w:bottom w:val="single" w:color="2A8C82" w:sz="8" w:space="4"/>
        </w:pBdr>
        <w:spacing w:after="160" w:before="0"/>
      </w:pPr>
      <w:r>
        <w:rPr>
          <w:rFonts w:ascii="Arial" w:cs="Arial" w:eastAsia="Arial" w:hAnsi="Arial"/>
          <w:b/>
          <w:bCs/>
          <w:color w:val="1B2A4A"/>
          <w:sz w:val="36"/>
          <w:szCs w:val="36"/>
        </w:rPr>
        <w:t xml:space="preserve">9. Strategic Recommendations</w:t>
      </w:r>
    </w:p>
    <w:p>
      <w:pPr>
        <w:keepLines/>
        <w:spacing w:after="120" w:before="0" w:line="276"/>
      </w:pPr>
      <w:r>
        <w:rPr>
          <w:rFonts w:ascii="Arial" w:cs="Arial" w:eastAsia="Arial" w:hAnsi="Arial"/>
          <w:color w:val="1F2937"/>
          <w:sz w:val="21"/>
          <w:szCs w:val="21"/>
        </w:rPr>
        <w:t xml:space="preserve">Based on the findings across all analytical dimensions, the following prioritised actions are recommended: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7776"/>
      </w:tblGrid>
      <w:tr>
        <w:trPr>
          <w:cantSplit/>
        </w:trPr>
        <w:tc>
          <w:tcPr>
            <w:tcW w:type="dxa" w:w="1250"/>
            <w:tcBorders>
              <w:top w:val="single" w:color="F0A30A" w:sz="4"/>
              <w:left w:val="single" w:color="F0A30A" w:sz="4"/>
              <w:bottom w:val="single" w:color="F0A30A" w:sz="4"/>
              <w:right w:val="single" w:color="F0A30A" w:sz="4"/>
            </w:tcBorders>
            <w:shd w:fill="F0A30A" w:color="auto" w:val="clear"/>
            <w:tcMar>
              <w:top w:type="dxa" w:w="80"/>
              <w:left w:type="dxa" w:w="60"/>
              <w:bottom w:type="dxa" w:w="80"/>
              <w:right w:type="dxa" w:w="60"/>
            </w:tcMar>
            <w:vAlign w:val="center"/>
          </w:tcPr>
          <w:p>
            <w:pPr>
              <w:spacing w:after="0"/>
              <w:jc w:val="center"/>
            </w:pPr>
            <w:r>
              <w:rPr>
                <w:rFonts w:ascii="Arial" w:cs="Arial" w:eastAsia="Arial" w:hAnsi="Arial"/>
                <w:b/>
                <w:bCs/>
                <w:color w:val="FFFFFF"/>
                <w:sz w:val="17"/>
                <w:szCs w:val="17"/>
              </w:rPr>
              <w:t xml:space="preserve">CRITICAL</w:t>
            </w:r>
          </w:p>
        </w:tc>
        <w:tc>
          <w:tcPr>
            <w:tcW w:type="dxa" w:w="7776"/>
            <w:tcBorders>
              <w:top w:val="single" w:color="D0D7E2" w:sz="4"/>
              <w:left w:val="single" w:color="D0D7E2" w:sz="4"/>
              <w:bottom w:val="single" w:color="D0D7E2" w:sz="4"/>
              <w:right w:val="single" w:color="D0D7E2" w:sz="4"/>
            </w:tcBorders>
            <w:shd w:fill="F4F6FA" w:color="auto" w:val="clear"/>
            <w:tcMar>
              <w:top w:type="dxa" w:w="60"/>
              <w:left w:type="dxa" w:w="150"/>
              <w:bottom w:type="dxa" w:w="60"/>
              <w:right w:type="dxa" w:w="130"/>
            </w:tcMar>
          </w:tcPr>
          <w:p>
            <w:pPr>
              <w:spacing w:after="50"/>
            </w:pPr>
            <w:r>
              <w:rPr>
                <w:rFonts w:ascii="Arial" w:cs="Arial" w:eastAsia="Arial" w:hAnsi="Arial"/>
                <w:b/>
                <w:bCs/>
                <w:color w:val="1B2A4A"/>
                <w:sz w:val="21"/>
                <w:szCs w:val="21"/>
              </w:rPr>
              <w:t xml:space="preserve">1. Immediately Audit First Class &amp; Second Class Shipping Capacity</w:t>
            </w:r>
          </w:p>
          <w:p>
            <w:pPr>
              <w:spacing w:after="0" w:line="262"/>
            </w:pPr>
            <w:r>
              <w:rPr>
                <w:rFonts w:ascii="Arial" w:cs="Arial" w:eastAsia="Arial" w:hAnsi="Arial"/>
                <w:color w:val="1F2937"/>
                <w:sz w:val="19"/>
                <w:szCs w:val="19"/>
              </w:rPr>
              <w:t xml:space="preserve">First Class shipping has a 100% delay rate and Second Class 79.8%. These modes operate in complete contradiction to their brand promise. Conduct an immediate carrier SLA audit. Until resolved, consider suspending First Class or repricing to reflect actual performance.</w:t>
            </w:r>
          </w:p>
        </w:tc>
      </w:tr>
    </w:tbl>
    <w:p>
      <w:pPr>
        <w:spacing w:after="7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7776"/>
      </w:tblGrid>
      <w:tr>
        <w:trPr>
          <w:cantSplit/>
        </w:trPr>
        <w:tc>
          <w:tcPr>
            <w:tcW w:type="dxa" w:w="1250"/>
            <w:tcBorders>
              <w:top w:val="single" w:color="800000" w:sz="4"/>
              <w:left w:val="single" w:color="800000" w:sz="4"/>
              <w:bottom w:val="single" w:color="800000" w:sz="4"/>
              <w:right w:val="single" w:color="800000" w:sz="4"/>
            </w:tcBorders>
            <w:shd w:fill="800000" w:color="auto" w:val="clear"/>
            <w:tcMar>
              <w:top w:type="dxa" w:w="80"/>
              <w:left w:type="dxa" w:w="60"/>
              <w:bottom w:type="dxa" w:w="80"/>
              <w:right w:type="dxa" w:w="60"/>
            </w:tcMar>
            <w:vAlign w:val="center"/>
          </w:tcPr>
          <w:p>
            <w:pPr>
              <w:spacing w:after="0"/>
              <w:jc w:val="center"/>
            </w:pPr>
            <w:r>
              <w:rPr>
                <w:rFonts w:ascii="Arial" w:cs="Arial" w:eastAsia="Arial" w:hAnsi="Arial"/>
                <w:b/>
                <w:bCs/>
                <w:color w:val="FFFFFF"/>
                <w:sz w:val="17"/>
                <w:szCs w:val="17"/>
              </w:rPr>
              <w:t xml:space="preserve">HIGH</w:t>
            </w:r>
          </w:p>
        </w:tc>
        <w:tc>
          <w:tcPr>
            <w:tcW w:type="dxa" w:w="7776"/>
            <w:tcBorders>
              <w:top w:val="single" w:color="D0D7E2" w:sz="4"/>
              <w:left w:val="single" w:color="D0D7E2" w:sz="4"/>
              <w:bottom w:val="single" w:color="D0D7E2" w:sz="4"/>
              <w:right w:val="single" w:color="D0D7E2" w:sz="4"/>
            </w:tcBorders>
            <w:shd w:fill="F4F6FA" w:color="auto" w:val="clear"/>
            <w:tcMar>
              <w:top w:type="dxa" w:w="60"/>
              <w:left w:type="dxa" w:w="150"/>
              <w:bottom w:type="dxa" w:w="60"/>
              <w:right w:type="dxa" w:w="130"/>
            </w:tcMar>
          </w:tcPr>
          <w:p>
            <w:pPr>
              <w:spacing w:after="50"/>
            </w:pPr>
            <w:r>
              <w:rPr>
                <w:rFonts w:ascii="Arial" w:cs="Arial" w:eastAsia="Arial" w:hAnsi="Arial"/>
                <w:b/>
                <w:bCs/>
                <w:color w:val="1B2A4A"/>
                <w:sz w:val="21"/>
                <w:szCs w:val="21"/>
              </w:rPr>
              <w:t xml:space="preserve">2. Deploy the Predictive Alert System</w:t>
            </w:r>
          </w:p>
          <w:p>
            <w:pPr>
              <w:spacing w:after="0" w:line="262"/>
            </w:pPr>
            <w:r>
              <w:rPr>
                <w:rFonts w:ascii="Arial" w:cs="Arial" w:eastAsia="Arial" w:hAnsi="Arial"/>
                <w:color w:val="1F2937"/>
                <w:sz w:val="19"/>
                <w:szCs w:val="19"/>
              </w:rPr>
              <w:t xml:space="preserve">The Random Forest model (74% accuracy, 79% precision on late orders) is ready for production piloting. Integrate it into the order management system to flag high-risk orders at confirmation and trigger proactive customer communication and priority handling queues.</w:t>
            </w:r>
          </w:p>
        </w:tc>
      </w:tr>
    </w:tbl>
    <w:p>
      <w:pPr>
        <w:spacing w:after="7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7776"/>
      </w:tblGrid>
      <w:tr>
        <w:trPr>
          <w:cantSplit/>
        </w:trPr>
        <w:tc>
          <w:tcPr>
            <w:tcW w:type="dxa" w:w="1250"/>
            <w:tcBorders>
              <w:top w:val="single" w:color="800000" w:sz="4"/>
              <w:left w:val="single" w:color="800000" w:sz="4"/>
              <w:bottom w:val="single" w:color="800000" w:sz="4"/>
              <w:right w:val="single" w:color="800000" w:sz="4"/>
            </w:tcBorders>
            <w:shd w:fill="800000" w:color="auto" w:val="clear"/>
            <w:tcMar>
              <w:top w:type="dxa" w:w="80"/>
              <w:left w:type="dxa" w:w="60"/>
              <w:bottom w:type="dxa" w:w="80"/>
              <w:right w:type="dxa" w:w="60"/>
            </w:tcMar>
            <w:vAlign w:val="center"/>
          </w:tcPr>
          <w:p>
            <w:pPr>
              <w:spacing w:after="0"/>
              <w:jc w:val="center"/>
            </w:pPr>
            <w:r>
              <w:rPr>
                <w:rFonts w:ascii="Arial" w:cs="Arial" w:eastAsia="Arial" w:hAnsi="Arial"/>
                <w:b/>
                <w:bCs/>
                <w:color w:val="FFFFFF"/>
                <w:sz w:val="17"/>
                <w:szCs w:val="17"/>
              </w:rPr>
              <w:t xml:space="preserve">HIGH</w:t>
            </w:r>
          </w:p>
        </w:tc>
        <w:tc>
          <w:tcPr>
            <w:tcW w:type="dxa" w:w="7776"/>
            <w:tcBorders>
              <w:top w:val="single" w:color="D0D7E2" w:sz="4"/>
              <w:left w:val="single" w:color="D0D7E2" w:sz="4"/>
              <w:bottom w:val="single" w:color="D0D7E2" w:sz="4"/>
              <w:right w:val="single" w:color="D0D7E2" w:sz="4"/>
            </w:tcBorders>
            <w:shd w:fill="F4F6FA" w:color="auto" w:val="clear"/>
            <w:tcMar>
              <w:top w:type="dxa" w:w="60"/>
              <w:left w:type="dxa" w:w="150"/>
              <w:bottom w:type="dxa" w:w="60"/>
              <w:right w:type="dxa" w:w="130"/>
            </w:tcMar>
          </w:tcPr>
          <w:p>
            <w:pPr>
              <w:spacing w:after="50"/>
            </w:pPr>
            <w:r>
              <w:rPr>
                <w:rFonts w:ascii="Arial" w:cs="Arial" w:eastAsia="Arial" w:hAnsi="Arial"/>
                <w:b/>
                <w:bCs/>
                <w:color w:val="1B2A4A"/>
                <w:sz w:val="21"/>
                <w:szCs w:val="21"/>
              </w:rPr>
              <w:t xml:space="preserve">3. Resolve Payment Processing Bottlenecks</w:t>
            </w:r>
          </w:p>
          <w:p>
            <w:pPr>
              <w:spacing w:after="0" w:line="262"/>
            </w:pPr>
            <w:r>
              <w:rPr>
                <w:rFonts w:ascii="Arial" w:cs="Arial" w:eastAsia="Arial" w:hAnsi="Arial"/>
                <w:color w:val="1F2937"/>
                <w:sz w:val="19"/>
                <w:szCs w:val="19"/>
              </w:rPr>
              <w:t xml:space="preserve">PAYMENT_REVIEW orders are late 55.3% of the time overall and 80.0% in Central Africa; PENDING orders reach 69.1% there. Introduce automated escalation for stalled payment reviews exceeding 2 hours, starting with the highest-delay regions.</w:t>
            </w:r>
          </w:p>
        </w:tc>
      </w:tr>
    </w:tbl>
    <w:p>
      <w:pPr>
        <w:spacing w:after="7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7776"/>
      </w:tblGrid>
      <w:tr>
        <w:trPr>
          <w:cantSplit/>
        </w:trPr>
        <w:tc>
          <w:tcPr>
            <w:tcW w:type="dxa" w:w="1250"/>
            <w:tcBorders>
              <w:top w:val="single" w:color="2A8C82" w:sz="4"/>
              <w:left w:val="single" w:color="2A8C82" w:sz="4"/>
              <w:bottom w:val="single" w:color="2A8C82" w:sz="4"/>
              <w:right w:val="single" w:color="2A8C82" w:sz="4"/>
            </w:tcBorders>
            <w:shd w:fill="2A8C82" w:color="auto" w:val="clear"/>
            <w:tcMar>
              <w:top w:type="dxa" w:w="80"/>
              <w:left w:type="dxa" w:w="60"/>
              <w:bottom w:type="dxa" w:w="80"/>
              <w:right w:type="dxa" w:w="60"/>
            </w:tcMar>
            <w:vAlign w:val="center"/>
          </w:tcPr>
          <w:p>
            <w:pPr>
              <w:spacing w:after="0"/>
              <w:jc w:val="center"/>
            </w:pPr>
            <w:r>
              <w:rPr>
                <w:rFonts w:ascii="Arial" w:cs="Arial" w:eastAsia="Arial" w:hAnsi="Arial"/>
                <w:b/>
                <w:bCs/>
                <w:color w:val="FFFFFF"/>
                <w:sz w:val="17"/>
                <w:szCs w:val="17"/>
              </w:rPr>
              <w:t xml:space="preserve">MEDIUM</w:t>
            </w:r>
          </w:p>
        </w:tc>
        <w:tc>
          <w:tcPr>
            <w:tcW w:type="dxa" w:w="7776"/>
            <w:tcBorders>
              <w:top w:val="single" w:color="D0D7E2" w:sz="4"/>
              <w:left w:val="single" w:color="D0D7E2" w:sz="4"/>
              <w:bottom w:val="single" w:color="D0D7E2" w:sz="4"/>
              <w:right w:val="single" w:color="D0D7E2" w:sz="4"/>
            </w:tcBorders>
            <w:shd w:fill="F4F6FA" w:color="auto" w:val="clear"/>
            <w:tcMar>
              <w:top w:type="dxa" w:w="60"/>
              <w:left w:type="dxa" w:w="150"/>
              <w:bottom w:type="dxa" w:w="60"/>
              <w:right w:type="dxa" w:w="130"/>
            </w:tcMar>
          </w:tcPr>
          <w:p>
            <w:pPr>
              <w:spacing w:after="50"/>
            </w:pPr>
            <w:r>
              <w:rPr>
                <w:rFonts w:ascii="Arial" w:cs="Arial" w:eastAsia="Arial" w:hAnsi="Arial"/>
                <w:b/>
                <w:bCs/>
                <w:color w:val="1B2A4A"/>
                <w:sz w:val="21"/>
                <w:szCs w:val="21"/>
              </w:rPr>
              <w:t xml:space="preserve">4. Develop Seasonal Surge Capacity Plans</w:t>
            </w:r>
          </w:p>
          <w:p>
            <w:pPr>
              <w:spacing w:after="0" w:line="262"/>
            </w:pPr>
            <w:r>
              <w:rPr>
                <w:rFonts w:ascii="Arial" w:cs="Arial" w:eastAsia="Arial" w:hAnsi="Arial"/>
                <w:color w:val="1F2937"/>
                <w:sz w:val="19"/>
                <w:szCs w:val="19"/>
              </w:rPr>
              <w:t xml:space="preserve">August and September (55.4%) and December (55.2%) are peak delay months. Build pre-season capacity plans including temporary logistics partnerships, inventory pre-positioning, and adjusted delivery promise windows.</w:t>
            </w:r>
          </w:p>
        </w:tc>
      </w:tr>
    </w:tbl>
    <w:p>
      <w:pPr>
        <w:spacing w:after="7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7776"/>
      </w:tblGrid>
      <w:tr>
        <w:trPr>
          <w:cantSplit/>
        </w:trPr>
        <w:tc>
          <w:tcPr>
            <w:tcW w:type="dxa" w:w="1250"/>
            <w:tcBorders>
              <w:top w:val="single" w:color="2A8C82" w:sz="4"/>
              <w:left w:val="single" w:color="2A8C82" w:sz="4"/>
              <w:bottom w:val="single" w:color="2A8C82" w:sz="4"/>
              <w:right w:val="single" w:color="2A8C82" w:sz="4"/>
            </w:tcBorders>
            <w:shd w:fill="2A8C82" w:color="auto" w:val="clear"/>
            <w:tcMar>
              <w:top w:type="dxa" w:w="80"/>
              <w:left w:type="dxa" w:w="60"/>
              <w:bottom w:type="dxa" w:w="80"/>
              <w:right w:type="dxa" w:w="60"/>
            </w:tcMar>
            <w:vAlign w:val="center"/>
          </w:tcPr>
          <w:p>
            <w:pPr>
              <w:spacing w:after="0"/>
              <w:jc w:val="center"/>
            </w:pPr>
            <w:r>
              <w:rPr>
                <w:rFonts w:ascii="Arial" w:cs="Arial" w:eastAsia="Arial" w:hAnsi="Arial"/>
                <w:b/>
                <w:bCs/>
                <w:color w:val="FFFFFF"/>
                <w:sz w:val="17"/>
                <w:szCs w:val="17"/>
              </w:rPr>
              <w:t xml:space="preserve">MEDIUM</w:t>
            </w:r>
          </w:p>
        </w:tc>
        <w:tc>
          <w:tcPr>
            <w:tcW w:type="dxa" w:w="7776"/>
            <w:tcBorders>
              <w:top w:val="single" w:color="D0D7E2" w:sz="4"/>
              <w:left w:val="single" w:color="D0D7E2" w:sz="4"/>
              <w:bottom w:val="single" w:color="D0D7E2" w:sz="4"/>
              <w:right w:val="single" w:color="D0D7E2" w:sz="4"/>
            </w:tcBorders>
            <w:shd w:fill="F4F6FA" w:color="auto" w:val="clear"/>
            <w:tcMar>
              <w:top w:type="dxa" w:w="60"/>
              <w:left w:type="dxa" w:w="150"/>
              <w:bottom w:type="dxa" w:w="60"/>
              <w:right w:type="dxa" w:w="130"/>
            </w:tcMar>
          </w:tcPr>
          <w:p>
            <w:pPr>
              <w:spacing w:after="50"/>
            </w:pPr>
            <w:r>
              <w:rPr>
                <w:rFonts w:ascii="Arial" w:cs="Arial" w:eastAsia="Arial" w:hAnsi="Arial"/>
                <w:b/>
                <w:bCs/>
                <w:color w:val="1B2A4A"/>
                <w:sz w:val="21"/>
                <w:szCs w:val="21"/>
              </w:rPr>
              <w:t xml:space="preserve">5. Default to Standard Class for Eligible Orders</w:t>
            </w:r>
          </w:p>
          <w:p>
            <w:pPr>
              <w:spacing w:after="0" w:line="262"/>
            </w:pPr>
            <w:r>
              <w:rPr>
                <w:rFonts w:ascii="Arial" w:cs="Arial" w:eastAsia="Arial" w:hAnsi="Arial"/>
                <w:color w:val="1F2937"/>
                <w:sz w:val="19"/>
                <w:szCs w:val="19"/>
              </w:rPr>
              <w:t xml:space="preserve">Standard Class achieves a 39.8% delay rate — far superior to First and Second Class. Re-evaluate shipping mode assignment logic to default eligible orders to Standard Class, particularly in regions and departments with poor premium mode performance.</w:t>
            </w:r>
          </w:p>
        </w:tc>
      </w:tr>
    </w:tbl>
    <w:p>
      <w:pPr>
        <w:spacing w:after="7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7776"/>
      </w:tblGrid>
      <w:tr>
        <w:trPr>
          <w:cantSplit/>
        </w:trPr>
        <w:tc>
          <w:tcPr>
            <w:tcW w:type="dxa" w:w="1250"/>
            <w:tcBorders>
              <w:top w:val="single" w:color="2A8C82" w:sz="4"/>
              <w:left w:val="single" w:color="2A8C82" w:sz="4"/>
              <w:bottom w:val="single" w:color="2A8C82" w:sz="4"/>
              <w:right w:val="single" w:color="2A8C82" w:sz="4"/>
            </w:tcBorders>
            <w:shd w:fill="2A8C82" w:color="auto" w:val="clear"/>
            <w:tcMar>
              <w:top w:type="dxa" w:w="80"/>
              <w:left w:type="dxa" w:w="60"/>
              <w:bottom w:type="dxa" w:w="80"/>
              <w:right w:type="dxa" w:w="60"/>
            </w:tcMar>
            <w:vAlign w:val="center"/>
          </w:tcPr>
          <w:p>
            <w:pPr>
              <w:spacing w:after="0"/>
              <w:jc w:val="center"/>
            </w:pPr>
            <w:r>
              <w:rPr>
                <w:rFonts w:ascii="Arial" w:cs="Arial" w:eastAsia="Arial" w:hAnsi="Arial"/>
                <w:b/>
                <w:bCs/>
                <w:color w:val="FFFFFF"/>
                <w:sz w:val="17"/>
                <w:szCs w:val="17"/>
              </w:rPr>
              <w:t xml:space="preserve">MEDIUM</w:t>
            </w:r>
          </w:p>
        </w:tc>
        <w:tc>
          <w:tcPr>
            <w:tcW w:type="dxa" w:w="7776"/>
            <w:tcBorders>
              <w:top w:val="single" w:color="D0D7E2" w:sz="4"/>
              <w:left w:val="single" w:color="D0D7E2" w:sz="4"/>
              <w:bottom w:val="single" w:color="D0D7E2" w:sz="4"/>
              <w:right w:val="single" w:color="D0D7E2" w:sz="4"/>
            </w:tcBorders>
            <w:shd w:fill="F4F6FA" w:color="auto" w:val="clear"/>
            <w:tcMar>
              <w:top w:type="dxa" w:w="60"/>
              <w:left w:type="dxa" w:w="150"/>
              <w:bottom w:type="dxa" w:w="60"/>
              <w:right w:type="dxa" w:w="130"/>
            </w:tcMar>
          </w:tcPr>
          <w:p>
            <w:pPr>
              <w:spacing w:after="50"/>
            </w:pPr>
            <w:r>
              <w:rPr>
                <w:rFonts w:ascii="Arial" w:cs="Arial" w:eastAsia="Arial" w:hAnsi="Arial"/>
                <w:b/>
                <w:bCs/>
                <w:color w:val="1B2A4A"/>
                <w:sz w:val="21"/>
                <w:szCs w:val="21"/>
              </w:rPr>
              <w:t xml:space="preserve">6. Investigate High-Delay Departments and Regions in Africa</w:t>
            </w:r>
          </w:p>
          <w:p>
            <w:pPr>
              <w:spacing w:after="0" w:line="262"/>
            </w:pPr>
            <w:r>
              <w:rPr>
                <w:rFonts w:ascii="Arial" w:cs="Arial" w:eastAsia="Arial" w:hAnsi="Arial"/>
                <w:color w:val="1F2937"/>
                <w:sz w:val="19"/>
                <w:szCs w:val="19"/>
              </w:rPr>
              <w:t xml:space="preserve">Health and Beauty (56.9%) and Pet Shop (56.6%) lead company-wide delay rates, while in Central Africa Outdoors (61.3%) and Golf (60.8%) are the worst departments. Run a targeted warehouse and carrier review for these department-region combinations.</w:t>
            </w:r>
          </w:p>
        </w:tc>
      </w:tr>
    </w:tbl>
    <w:p>
      <w:pPr>
        <w:spacing w:after="7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7776"/>
      </w:tblGrid>
      <w:tr>
        <w:trPr>
          <w:cantSplit/>
        </w:trPr>
        <w:tc>
          <w:tcPr>
            <w:tcW w:type="dxa" w:w="1250"/>
            <w:tcBorders>
              <w:top w:val="single" w:color="1B2A4A" w:sz="4"/>
              <w:left w:val="single" w:color="1B2A4A" w:sz="4"/>
              <w:bottom w:val="single" w:color="1B2A4A" w:sz="4"/>
              <w:right w:val="single" w:color="1B2A4A" w:sz="4"/>
            </w:tcBorders>
            <w:shd w:fill="1B2A4A" w:color="auto" w:val="clear"/>
            <w:tcMar>
              <w:top w:type="dxa" w:w="80"/>
              <w:left w:type="dxa" w:w="60"/>
              <w:bottom w:type="dxa" w:w="80"/>
              <w:right w:type="dxa" w:w="60"/>
            </w:tcMar>
            <w:vAlign w:val="center"/>
          </w:tcPr>
          <w:p>
            <w:pPr>
              <w:spacing w:after="0"/>
              <w:jc w:val="center"/>
            </w:pPr>
            <w:r>
              <w:rPr>
                <w:rFonts w:ascii="Arial" w:cs="Arial" w:eastAsia="Arial" w:hAnsi="Arial"/>
                <w:b/>
                <w:bCs/>
                <w:color w:val="FFFFFF"/>
                <w:sz w:val="17"/>
                <w:szCs w:val="17"/>
              </w:rPr>
              <w:t xml:space="preserve">LOW</w:t>
            </w:r>
          </w:p>
        </w:tc>
        <w:tc>
          <w:tcPr>
            <w:tcW w:type="dxa" w:w="7776"/>
            <w:tcBorders>
              <w:top w:val="single" w:color="D0D7E2" w:sz="4"/>
              <w:left w:val="single" w:color="D0D7E2" w:sz="4"/>
              <w:bottom w:val="single" w:color="D0D7E2" w:sz="4"/>
              <w:right w:val="single" w:color="D0D7E2" w:sz="4"/>
            </w:tcBorders>
            <w:shd w:fill="F4F6FA" w:color="auto" w:val="clear"/>
            <w:tcMar>
              <w:top w:type="dxa" w:w="60"/>
              <w:left w:type="dxa" w:w="150"/>
              <w:bottom w:type="dxa" w:w="60"/>
              <w:right w:type="dxa" w:w="130"/>
            </w:tcMar>
          </w:tcPr>
          <w:p>
            <w:pPr>
              <w:spacing w:after="50"/>
            </w:pPr>
            <w:r>
              <w:rPr>
                <w:rFonts w:ascii="Arial" w:cs="Arial" w:eastAsia="Arial" w:hAnsi="Arial"/>
                <w:b/>
                <w:bCs/>
                <w:color w:val="1B2A4A"/>
                <w:sz w:val="21"/>
                <w:szCs w:val="21"/>
              </w:rPr>
              <w:t xml:space="preserve">7. Reduce Loss-Making Order Share (18.7%)</w:t>
            </w:r>
          </w:p>
          <w:p>
            <w:pPr>
              <w:spacing w:after="0" w:line="262"/>
            </w:pPr>
            <w:r>
              <w:rPr>
                <w:rFonts w:ascii="Arial" w:cs="Arial" w:eastAsia="Arial" w:hAnsi="Arial"/>
                <w:color w:val="1F2937"/>
                <w:sz w:val="19"/>
                <w:szCs w:val="19"/>
              </w:rPr>
              <w:t xml:space="preserve">The 18.7% loss-making order share warrants a separate pricing and discount review. Combine with delay analysis to identify whether discounted orders are disproportionately late, creating a compounded margin problem.</w:t>
            </w:r>
          </w:p>
        </w:tc>
      </w:tr>
    </w:tbl>
    <w:p>
      <w:pPr>
        <w:spacing w:after="7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7776"/>
      </w:tblGrid>
      <w:tr>
        <w:trPr>
          <w:cantSplit/>
        </w:trPr>
        <w:tc>
          <w:tcPr>
            <w:tcW w:type="dxa" w:w="1250"/>
            <w:tcBorders>
              <w:top w:val="single" w:color="1B2A4A" w:sz="4"/>
              <w:left w:val="single" w:color="1B2A4A" w:sz="4"/>
              <w:bottom w:val="single" w:color="1B2A4A" w:sz="4"/>
              <w:right w:val="single" w:color="1B2A4A" w:sz="4"/>
            </w:tcBorders>
            <w:shd w:fill="1B2A4A" w:color="auto" w:val="clear"/>
            <w:tcMar>
              <w:top w:type="dxa" w:w="80"/>
              <w:left w:type="dxa" w:w="60"/>
              <w:bottom w:type="dxa" w:w="80"/>
              <w:right w:type="dxa" w:w="60"/>
            </w:tcMar>
            <w:vAlign w:val="center"/>
          </w:tcPr>
          <w:p>
            <w:pPr>
              <w:spacing w:after="0"/>
              <w:jc w:val="center"/>
            </w:pPr>
            <w:r>
              <w:rPr>
                <w:rFonts w:ascii="Arial" w:cs="Arial" w:eastAsia="Arial" w:hAnsi="Arial"/>
                <w:b/>
                <w:bCs/>
                <w:color w:val="FFFFFF"/>
                <w:sz w:val="17"/>
                <w:szCs w:val="17"/>
              </w:rPr>
              <w:t xml:space="preserve">LOW</w:t>
            </w:r>
          </w:p>
        </w:tc>
        <w:tc>
          <w:tcPr>
            <w:tcW w:type="dxa" w:w="7776"/>
            <w:tcBorders>
              <w:top w:val="single" w:color="D0D7E2" w:sz="4"/>
              <w:left w:val="single" w:color="D0D7E2" w:sz="4"/>
              <w:bottom w:val="single" w:color="D0D7E2" w:sz="4"/>
              <w:right w:val="single" w:color="D0D7E2" w:sz="4"/>
            </w:tcBorders>
            <w:shd w:fill="F4F6FA" w:color="auto" w:val="clear"/>
            <w:tcMar>
              <w:top w:type="dxa" w:w="60"/>
              <w:left w:type="dxa" w:w="150"/>
              <w:bottom w:type="dxa" w:w="60"/>
              <w:right w:type="dxa" w:w="130"/>
            </w:tcMar>
          </w:tcPr>
          <w:p>
            <w:pPr>
              <w:spacing w:after="50"/>
            </w:pPr>
            <w:r>
              <w:rPr>
                <w:rFonts w:ascii="Arial" w:cs="Arial" w:eastAsia="Arial" w:hAnsi="Arial"/>
                <w:b/>
                <w:bCs/>
                <w:color w:val="1B2A4A"/>
                <w:sz w:val="21"/>
                <w:szCs w:val="21"/>
              </w:rPr>
              <w:t xml:space="preserve">8. Continuously Retrain the Predictive Model</w:t>
            </w:r>
          </w:p>
          <w:p>
            <w:pPr>
              <w:spacing w:after="0" w:line="262"/>
            </w:pPr>
            <w:r>
              <w:rPr>
                <w:rFonts w:ascii="Arial" w:cs="Arial" w:eastAsia="Arial" w:hAnsi="Arial"/>
                <w:color w:val="1F2937"/>
                <w:sz w:val="19"/>
                <w:szCs w:val="19"/>
              </w:rPr>
              <w:t xml:space="preserve">Retrain the model quarterly. Explore adding carrier-level data, weather events, and warehouse utilisation features. Target a recall improvement to above 80% on late orders within 6 months.</w:t>
            </w:r>
          </w:p>
        </w:tc>
      </w:tr>
    </w:tbl>
    <w:p>
      <w:pPr>
        <w:spacing w:after="70"/>
      </w:pPr>
    </w:p>
    <w:p>
      <w:pPr>
        <w:pStyle w:val="Heading2"/>
        <w:keepNext/>
        <w:spacing w:after="100" w:before="260"/>
      </w:pPr>
      <w:r>
        <w:rPr>
          <w:rFonts w:ascii="Arial" w:cs="Arial" w:eastAsia="Arial" w:hAnsi="Arial"/>
          <w:b/>
          <w:bCs/>
          <w:color w:val="2A8C82"/>
          <w:sz w:val="27"/>
          <w:szCs w:val="27"/>
        </w:rPr>
        <w:t xml:space="preserve">9.1 Expected impact of the shipping-mode fixes</w:t>
      </w:r>
    </w:p>
    <w:p>
      <w:pPr>
        <w:keepLines/>
        <w:spacing w:after="120" w:before="0" w:line="276"/>
      </w:pPr>
      <w:r>
        <w:rPr>
          <w:rFonts w:ascii="Arial" w:cs="Arial" w:eastAsia="Arial" w:hAnsi="Arial"/>
          <w:color w:val="1F2937"/>
          <w:sz w:val="21"/>
          <w:szCs w:val="21"/>
        </w:rPr>
        <w:t xml:space="preserve">Using the delay rates and order volumes from Section 5, a simple scenario shows how much of the late-delivery problem the first recommendations could remove. The scenario holds order volumes and the Same Day mode constant and is illustrative, not a forecast.</w:t>
      </w:r>
    </w:p>
    <w:p>
      <w:pPr>
        <w:keepNext/>
        <w:spacing w:after="60" w:before="80"/>
        <w:jc w:val="center"/>
      </w:pPr>
      <w:r>
        <w:drawing>
          <wp:inline distT="0" distB="0" distL="0" distR="0">
            <wp:extent cx="4762500" cy="2114550"/>
            <wp:effectExtent t="0" r="0" b="0" l="0"/>
            <wp:docPr id="1" name="chartB.png" descr="Figure 7: Illustrative late delivery rate under shipping-mode improvement scenarios" title="Figure 7: Illustrative late delivery rate under shipping-mode improvement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114550"/>
                    </a:xfrm>
                    <a:prstGeom prst="rect">
                      <a:avLst/>
                    </a:prstGeom>
                  </pic:spPr>
                </pic:pic>
              </a:graphicData>
            </a:graphic>
          </wp:inline>
        </w:drawing>
      </w:r>
    </w:p>
    <w:p>
      <w:pPr>
        <w:spacing w:after="160"/>
        <w:jc w:val="center"/>
      </w:pPr>
      <w:r>
        <w:rPr>
          <w:rFonts w:ascii="Arial" w:cs="Arial" w:eastAsia="Arial" w:hAnsi="Arial"/>
          <w:i/>
          <w:iCs/>
          <w:color w:val="6B7280"/>
          <w:sz w:val="18"/>
          <w:szCs w:val="18"/>
        </w:rPr>
        <w:t xml:space="preserve">Figure 7: Illustrative late delivery rate under shipping-mode improvement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826"/>
        <w:gridCol w:w="1500"/>
        <w:gridCol w:w="1400"/>
      </w:tblGrid>
      <w:tr>
        <w:trPr>
          <w:cantSplit/>
          <w:tblHeader/>
        </w:trPr>
        <w:tc>
          <w:tcPr>
            <w:tcW w:type="dxa" w:w="13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jc w:val="center"/>
            </w:pPr>
            <w:r>
              <w:rPr>
                <w:rFonts w:ascii="Arial" w:cs="Arial" w:eastAsia="Arial" w:hAnsi="Arial"/>
                <w:b/>
                <w:bCs/>
                <w:color w:val="FFFFFF"/>
                <w:sz w:val="19"/>
                <w:szCs w:val="19"/>
              </w:rPr>
              <w:t xml:space="preserve">Scenario</w:t>
            </w:r>
          </w:p>
        </w:tc>
        <w:tc>
          <w:tcPr>
            <w:tcW w:type="dxa" w:w="4826"/>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Assumption</w:t>
            </w:r>
          </w:p>
        </w:tc>
        <w:tc>
          <w:tcPr>
            <w:tcW w:type="dxa" w:w="15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9"/>
                <w:szCs w:val="19"/>
              </w:rPr>
              <w:t xml:space="preserve">Late orders</w:t>
            </w:r>
          </w:p>
        </w:tc>
        <w:tc>
          <w:tcPr>
            <w:tcW w:type="dxa" w:w="14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FFFFF"/>
                <w:sz w:val="19"/>
                <w:szCs w:val="19"/>
              </w:rPr>
              <w:t xml:space="preserve">Late rate</w:t>
            </w:r>
          </w:p>
        </w:tc>
      </w:tr>
      <w:tr>
        <w:trPr>
          <w:cantSplit/>
        </w:trPr>
        <w:tc>
          <w:tcPr>
            <w:tcW w:type="dxa" w:w="13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center"/>
            </w:pPr>
            <w:r>
              <w:rPr>
                <w:rFonts w:ascii="Arial" w:cs="Arial" w:eastAsia="Arial" w:hAnsi="Arial"/>
                <w:color w:val="1F2937"/>
                <w:sz w:val="19"/>
                <w:szCs w:val="19"/>
              </w:rPr>
              <w:t xml:space="preserve">Current</w:t>
            </w:r>
          </w:p>
        </w:tc>
        <w:tc>
          <w:tcPr>
            <w:tcW w:type="dxa" w:w="48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Baseline delay rates by mode</w:t>
            </w:r>
          </w:p>
        </w:tc>
        <w:tc>
          <w:tcPr>
            <w:tcW w:type="dxa" w:w="1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94,523</w:t>
            </w:r>
          </w:p>
        </w:tc>
        <w:tc>
          <w:tcPr>
            <w:tcW w:type="dxa" w:w="1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800000"/>
                <w:sz w:val="19"/>
                <w:szCs w:val="19"/>
              </w:rPr>
              <w:t xml:space="preserve">54.7%</w:t>
            </w:r>
          </w:p>
        </w:tc>
      </w:tr>
      <w:tr>
        <w:trPr>
          <w:cantSplit/>
        </w:trPr>
        <w:tc>
          <w:tcPr>
            <w:tcW w:type="dxa" w:w="13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center"/>
            </w:pPr>
            <w:r>
              <w:rPr>
                <w:rFonts w:ascii="Arial" w:cs="Arial" w:eastAsia="Arial" w:hAnsi="Arial"/>
                <w:color w:val="1F2937"/>
                <w:sz w:val="19"/>
                <w:szCs w:val="19"/>
              </w:rPr>
              <w:t xml:space="preserve">A</w:t>
            </w:r>
          </w:p>
        </w:tc>
        <w:tc>
          <w:tcPr>
            <w:tcW w:type="dxa" w:w="48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First Class 80% on-time, Second Class 60% on-time (Standard unchanged)</w:t>
            </w:r>
          </w:p>
        </w:tc>
        <w:tc>
          <w:tcPr>
            <w:tcW w:type="dxa" w:w="15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 59,900</w:t>
            </w:r>
          </w:p>
        </w:tc>
        <w:tc>
          <w:tcPr>
            <w:tcW w:type="dxa" w:w="14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F0A30A"/>
                <w:sz w:val="19"/>
                <w:szCs w:val="19"/>
              </w:rPr>
              <w:t xml:space="preserve">≈ 34.7%</w:t>
            </w:r>
          </w:p>
        </w:tc>
      </w:tr>
      <w:tr>
        <w:trPr>
          <w:cantSplit/>
        </w:trPr>
        <w:tc>
          <w:tcPr>
            <w:tcW w:type="dxa" w:w="13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center"/>
            </w:pPr>
            <w:r>
              <w:rPr>
                <w:rFonts w:ascii="Arial" w:cs="Arial" w:eastAsia="Arial" w:hAnsi="Arial"/>
                <w:color w:val="1F2937"/>
                <w:sz w:val="19"/>
                <w:szCs w:val="19"/>
              </w:rPr>
              <w:t xml:space="preserve">B</w:t>
            </w:r>
          </w:p>
        </w:tc>
        <w:tc>
          <w:tcPr>
            <w:tcW w:type="dxa" w:w="48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A, plus Standard Class delay rate reduced from 39.8% to 32%</w:t>
            </w:r>
          </w:p>
        </w:tc>
        <w:tc>
          <w:tcPr>
            <w:tcW w:type="dxa" w:w="1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color w:val="1F2937"/>
                <w:sz w:val="19"/>
                <w:szCs w:val="19"/>
              </w:rPr>
              <w:t xml:space="preserve">≈ 51,800</w:t>
            </w:r>
          </w:p>
        </w:tc>
        <w:tc>
          <w:tcPr>
            <w:tcW w:type="dxa" w:w="1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jc w:val="right"/>
            </w:pPr>
            <w:r>
              <w:rPr>
                <w:rFonts w:ascii="Arial" w:cs="Arial" w:eastAsia="Arial" w:hAnsi="Arial"/>
                <w:b/>
                <w:bCs/>
                <w:color w:val="2A8C82"/>
                <w:sz w:val="19"/>
                <w:szCs w:val="19"/>
              </w:rPr>
              <w:t xml:space="preserve">≈ 30.0%</w:t>
            </w:r>
          </w:p>
        </w:tc>
      </w:tr>
    </w:tbl>
    <w:p>
      <w:pPr>
        <w:spacing w:after="100"/>
      </w:pPr>
    </w:p>
    <w:p>
      <w:pPr>
        <w:keepLines/>
        <w:spacing w:after="120" w:before="0" w:line="276"/>
      </w:pPr>
      <w:r>
        <w:rPr>
          <w:rFonts w:ascii="Arial" w:cs="Arial" w:eastAsia="Arial" w:hAnsi="Arial"/>
          <w:color w:val="1F2937"/>
          <w:sz w:val="21"/>
          <w:szCs w:val="21"/>
        </w:rPr>
        <w:t xml:space="preserve">Fixing the two premium modes alone removes roughly 20 points of late-delivery rate; reaching the 12-month goal of under 30% additionally requires improving Standard Class, which carries the largest absolute volume of late orders.</w:t>
      </w:r>
    </w:p>
    <w:p>
      <w:pPr>
        <w:pStyle w:val="Heading2"/>
        <w:keepNext/>
        <w:spacing w:after="100" w:before="260"/>
      </w:pPr>
      <w:r>
        <w:rPr>
          <w:rFonts w:ascii="Arial" w:cs="Arial" w:eastAsia="Arial" w:hAnsi="Arial"/>
          <w:b/>
          <w:bCs/>
          <w:color w:val="2A8C82"/>
          <w:sz w:val="27"/>
          <w:szCs w:val="27"/>
        </w:rPr>
        <w:t xml:space="preserve">9.2 Implementation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26"/>
        <w:gridCol w:w="2300"/>
      </w:tblGrid>
      <w:tr>
        <w:trPr>
          <w:cantSplit/>
          <w:tblHeader/>
        </w:trPr>
        <w:tc>
          <w:tcPr>
            <w:tcW w:type="dxa" w:w="15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Horizon</w:t>
            </w:r>
          </w:p>
        </w:tc>
        <w:tc>
          <w:tcPr>
            <w:tcW w:type="dxa" w:w="5226"/>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Actions</w:t>
            </w:r>
          </w:p>
        </w:tc>
        <w:tc>
          <w:tcPr>
            <w:tcW w:type="dxa" w:w="23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Owner (suggested)</w:t>
            </w:r>
          </w:p>
        </w:tc>
      </w:tr>
      <w:tr>
        <w:trPr>
          <w:cantSplit/>
        </w:trPr>
        <w:tc>
          <w:tcPr>
            <w:tcW w:type="dxa" w:w="1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0–30 days</w:t>
            </w:r>
          </w:p>
        </w:tc>
        <w:tc>
          <w:tcPr>
            <w:tcW w:type="dxa" w:w="52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Carrier SLA audit (Rec. 1); validate delivery-promise definitions; define the alert-system pilot scope (Rec. 2).</w:t>
            </w:r>
          </w:p>
        </w:tc>
        <w:tc>
          <w:tcPr>
            <w:tcW w:type="dxa" w:w="23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Logistics, Data Analytics</w:t>
            </w:r>
          </w:p>
        </w:tc>
      </w:tr>
      <w:tr>
        <w:trPr>
          <w:cantSplit/>
        </w:trPr>
        <w:tc>
          <w:tcPr>
            <w:tcW w:type="dxa" w:w="15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30–90 days</w:t>
            </w:r>
          </w:p>
        </w:tc>
        <w:tc>
          <w:tcPr>
            <w:tcW w:type="dxa" w:w="52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Pilot predictive alerts on selected regions; payment-review escalation rule (Rec. 3); default-to-Standard rule (Rec. 5).</w:t>
            </w:r>
          </w:p>
        </w:tc>
        <w:tc>
          <w:tcPr>
            <w:tcW w:type="dxa" w:w="23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Operations, IT, Payments</w:t>
            </w:r>
          </w:p>
        </w:tc>
      </w:tr>
      <w:tr>
        <w:trPr>
          <w:cantSplit/>
        </w:trPr>
        <w:tc>
          <w:tcPr>
            <w:tcW w:type="dxa" w:w="15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3–6 months</w:t>
            </w:r>
          </w:p>
        </w:tc>
        <w:tc>
          <w:tcPr>
            <w:tcW w:type="dxa" w:w="52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Seasonal capacity plan ahead of Aug–Dec (Rec. 4); department and region reviews (Rec. 6); pricing and discount review (Rec. 7).</w:t>
            </w:r>
          </w:p>
        </w:tc>
        <w:tc>
          <w:tcPr>
            <w:tcW w:type="dxa" w:w="23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Operations, Finance</w:t>
            </w:r>
          </w:p>
        </w:tc>
      </w:tr>
      <w:tr>
        <w:trPr>
          <w:cantSplit/>
        </w:trPr>
        <w:tc>
          <w:tcPr>
            <w:tcW w:type="dxa" w:w="15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1F2937"/>
                <w:sz w:val="19"/>
                <w:szCs w:val="19"/>
              </w:rPr>
              <w:t xml:space="preserve">6–12 months</w:t>
            </w:r>
          </w:p>
        </w:tc>
        <w:tc>
          <w:tcPr>
            <w:tcW w:type="dxa" w:w="52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Quarterly model retraining with carrier, weather and warehouse data to reach more than 80% recall (Rec. 8); track KPIs in Section 10.</w:t>
            </w:r>
          </w:p>
        </w:tc>
        <w:tc>
          <w:tcPr>
            <w:tcW w:type="dxa" w:w="23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Data Analytics</w:t>
            </w:r>
          </w:p>
        </w:tc>
      </w:tr>
    </w:tbl>
    <w:p>
      <w:pPr>
        <w:pStyle w:val="Heading1"/>
        <w:keepNext/>
        <w:pageBreakBefore/>
        <w:pBdr>
          <w:bottom w:val="single" w:color="2A8C82" w:sz="8" w:space="4"/>
        </w:pBdr>
        <w:spacing w:after="160" w:before="0"/>
      </w:pPr>
      <w:r>
        <w:rPr>
          <w:rFonts w:ascii="Arial" w:cs="Arial" w:eastAsia="Arial" w:hAnsi="Arial"/>
          <w:b/>
          <w:bCs/>
          <w:color w:val="1B2A4A"/>
          <w:sz w:val="36"/>
          <w:szCs w:val="36"/>
        </w:rPr>
        <w:t xml:space="preserve">10. Conclusion</w:t>
      </w:r>
    </w:p>
    <w:p>
      <w:pPr>
        <w:keepLines/>
        <w:spacing w:after="120" w:before="0" w:line="276"/>
      </w:pPr>
      <w:r>
        <w:rPr>
          <w:rFonts w:ascii="Arial" w:cs="Arial" w:eastAsia="Arial" w:hAnsi="Arial"/>
          <w:color w:val="1F2937"/>
          <w:sz w:val="21"/>
          <w:szCs w:val="21"/>
        </w:rPr>
        <w:t xml:space="preserve">This analysis has surfaced a clear and urgent picture: a global e-commerce operation where the majority of orders (54.71%) fail to meet their promised delivery windows, costing $2.1M in at-risk profit and undermining customer trust at scale.</w:t>
      </w:r>
    </w:p>
    <w:p>
      <w:pPr>
        <w:keepLines/>
        <w:spacing w:after="120" w:before="0" w:line="276"/>
      </w:pPr>
      <w:r>
        <w:rPr>
          <w:rFonts w:ascii="Arial" w:cs="Arial" w:eastAsia="Arial" w:hAnsi="Arial"/>
          <w:color w:val="1F2937"/>
          <w:sz w:val="21"/>
          <w:szCs w:val="21"/>
        </w:rPr>
        <w:t xml:space="preserve">The root causes are identifiable and addressable. Shipping mode misconfiguration (First Class at 100% late, Second Class at 79.8%) is the dominant operational failure. Payment processing friction creates a secondary bottleneck. Seasonal peaks add a modest but predictable uplift and are not yet planned for explicitly. Geographic disparities, while present, are secondary to the systemic company-wide pattern.</w:t>
      </w:r>
    </w:p>
    <w:p>
      <w:pPr>
        <w:keepLines/>
        <w:spacing w:after="120" w:before="0" w:line="276"/>
      </w:pPr>
      <w:r>
        <w:rPr>
          <w:rFonts w:ascii="Arial" w:cs="Arial" w:eastAsia="Arial" w:hAnsi="Arial"/>
          <w:color w:val="1F2937"/>
          <w:sz w:val="21"/>
          <w:szCs w:val="21"/>
        </w:rPr>
        <w:t xml:space="preserve">A Random Forest predictive model trained on readily available order features already achieves 74% accuracy in identifying at-risk orders. This is a deployable tool, not a future aspiration.</w:t>
      </w:r>
    </w:p>
    <w:p>
      <w:pPr>
        <w:keepNext/>
        <w:spacing w:after="80" w:before="180"/>
      </w:pPr>
      <w:r>
        <w:rPr>
          <w:rFonts w:ascii="Arial" w:cs="Arial" w:eastAsia="Arial" w:hAnsi="Arial"/>
          <w:b/>
          <w:bCs/>
          <w:color w:val="1B2A4A"/>
          <w:sz w:val="22"/>
          <w:szCs w:val="22"/>
        </w:rPr>
        <w:t xml:space="preserve">Targets and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26"/>
      </w:tblGrid>
      <w:tr>
        <w:trPr>
          <w:cantSplit/>
          <w:tblHeader/>
        </w:trPr>
        <w:tc>
          <w:tcPr>
            <w:tcW w:type="dxa" w:w="34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Priority Area</w:t>
            </w:r>
          </w:p>
        </w:tc>
        <w:tc>
          <w:tcPr>
            <w:tcW w:type="dxa" w:w="2400"/>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Current State</w:t>
            </w:r>
          </w:p>
        </w:tc>
        <w:tc>
          <w:tcPr>
            <w:tcW w:type="dxa" w:w="3226"/>
            <w:tcBorders>
              <w:top w:val="single" w:color="D0D7E2" w:sz="4"/>
              <w:left w:val="single" w:color="D0D7E2" w:sz="4"/>
              <w:bottom w:val="single" w:color="D0D7E2" w:sz="4"/>
              <w:right w:val="single" w:color="D0D7E2" w:sz="4"/>
            </w:tcBorders>
            <w:shd w:fill="1B2A4A" w:color="auto" w:val="clear"/>
            <w:tcMar>
              <w:top w:type="dxa" w:w="70"/>
              <w:left w:type="dxa" w:w="110"/>
              <w:bottom w:type="dxa" w:w="70"/>
              <w:right w:type="dxa" w:w="110"/>
            </w:tcMar>
            <w:vAlign w:val="center"/>
          </w:tcPr>
          <w:p>
            <w:pPr>
              <w:spacing w:after="0" w:line="260"/>
            </w:pPr>
            <w:r>
              <w:rPr>
                <w:rFonts w:ascii="Arial" w:cs="Arial" w:eastAsia="Arial" w:hAnsi="Arial"/>
                <w:b/>
                <w:bCs/>
                <w:color w:val="FFFFFF"/>
                <w:sz w:val="19"/>
                <w:szCs w:val="19"/>
              </w:rPr>
              <w:t xml:space="preserve">Target State</w:t>
            </w:r>
          </w:p>
        </w:tc>
      </w:tr>
      <w:tr>
        <w:trPr>
          <w:cantSplit/>
        </w:trPr>
        <w:tc>
          <w:tcPr>
            <w:tcW w:type="dxa" w:w="3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Late Delivery Rate</w:t>
            </w:r>
          </w:p>
        </w:tc>
        <w:tc>
          <w:tcPr>
            <w:tcW w:type="dxa" w:w="2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54.71%</w:t>
            </w:r>
          </w:p>
        </w:tc>
        <w:tc>
          <w:tcPr>
            <w:tcW w:type="dxa" w:w="32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2A8C82"/>
                <w:sz w:val="19"/>
                <w:szCs w:val="19"/>
              </w:rPr>
              <w:t xml:space="preserve">&lt; 30% within 12 months</w:t>
            </w:r>
          </w:p>
        </w:tc>
      </w:tr>
      <w:tr>
        <w:trPr>
          <w:cantSplit/>
        </w:trPr>
        <w:tc>
          <w:tcPr>
            <w:tcW w:type="dxa" w:w="34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First Class On-Time Rate</w:t>
            </w:r>
          </w:p>
        </w:tc>
        <w:tc>
          <w:tcPr>
            <w:tcW w:type="dxa" w:w="24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0%</w:t>
            </w:r>
          </w:p>
        </w:tc>
        <w:tc>
          <w:tcPr>
            <w:tcW w:type="dxa" w:w="32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2A8C82"/>
                <w:sz w:val="19"/>
                <w:szCs w:val="19"/>
              </w:rPr>
              <w:t xml:space="preserve">&gt; 80%</w:t>
            </w:r>
          </w:p>
        </w:tc>
      </w:tr>
      <w:tr>
        <w:trPr>
          <w:cantSplit/>
        </w:trPr>
        <w:tc>
          <w:tcPr>
            <w:tcW w:type="dxa" w:w="3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Second Class On-Time Rate</w:t>
            </w:r>
          </w:p>
        </w:tc>
        <w:tc>
          <w:tcPr>
            <w:tcW w:type="dxa" w:w="2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20.2%</w:t>
            </w:r>
          </w:p>
        </w:tc>
        <w:tc>
          <w:tcPr>
            <w:tcW w:type="dxa" w:w="32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2A8C82"/>
                <w:sz w:val="19"/>
                <w:szCs w:val="19"/>
              </w:rPr>
              <w:t xml:space="preserve">&gt; 60%</w:t>
            </w:r>
          </w:p>
        </w:tc>
      </w:tr>
      <w:tr>
        <w:trPr>
          <w:cantSplit/>
        </w:trPr>
        <w:tc>
          <w:tcPr>
            <w:tcW w:type="dxa" w:w="34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Predictive Model Accuracy</w:t>
            </w:r>
          </w:p>
        </w:tc>
        <w:tc>
          <w:tcPr>
            <w:tcW w:type="dxa" w:w="24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74%</w:t>
            </w:r>
          </w:p>
        </w:tc>
        <w:tc>
          <w:tcPr>
            <w:tcW w:type="dxa" w:w="32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2A8C82"/>
                <w:sz w:val="19"/>
                <w:szCs w:val="19"/>
              </w:rPr>
              <w:t xml:space="preserve">&gt; 82% (enhanced model)</w:t>
            </w:r>
          </w:p>
        </w:tc>
      </w:tr>
      <w:tr>
        <w:trPr>
          <w:cantSplit/>
        </w:trPr>
        <w:tc>
          <w:tcPr>
            <w:tcW w:type="dxa" w:w="3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Loss-Making Orders</w:t>
            </w:r>
          </w:p>
        </w:tc>
        <w:tc>
          <w:tcPr>
            <w:tcW w:type="dxa" w:w="2400"/>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18.7%</w:t>
            </w:r>
          </w:p>
        </w:tc>
        <w:tc>
          <w:tcPr>
            <w:tcW w:type="dxa" w:w="3226"/>
            <w:tcBorders>
              <w:top w:val="single" w:color="D0D7E2" w:sz="4"/>
              <w:left w:val="single" w:color="D0D7E2" w:sz="4"/>
              <w:bottom w:val="single" w:color="D0D7E2" w:sz="4"/>
              <w:right w:val="single" w:color="D0D7E2" w:sz="4"/>
            </w:tcBorders>
            <w:shd w:fill="FFFFFF" w:color="auto" w:val="clear"/>
            <w:tcMar>
              <w:top w:type="dxa" w:w="70"/>
              <w:left w:type="dxa" w:w="110"/>
              <w:bottom w:type="dxa" w:w="70"/>
              <w:right w:type="dxa" w:w="110"/>
            </w:tcMar>
            <w:vAlign w:val="center"/>
          </w:tcPr>
          <w:p>
            <w:pPr>
              <w:spacing w:after="0" w:line="260"/>
            </w:pPr>
            <w:r>
              <w:rPr>
                <w:rFonts w:ascii="Arial" w:cs="Arial" w:eastAsia="Arial" w:hAnsi="Arial"/>
                <w:b/>
                <w:bCs/>
                <w:color w:val="2A8C82"/>
                <w:sz w:val="19"/>
                <w:szCs w:val="19"/>
              </w:rPr>
              <w:t xml:space="preserve">&lt; 12%</w:t>
            </w:r>
          </w:p>
        </w:tc>
      </w:tr>
      <w:tr>
        <w:trPr>
          <w:cantSplit/>
        </w:trPr>
        <w:tc>
          <w:tcPr>
            <w:tcW w:type="dxa" w:w="34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Profit at Risk</w:t>
            </w:r>
          </w:p>
        </w:tc>
        <w:tc>
          <w:tcPr>
            <w:tcW w:type="dxa" w:w="2400"/>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color w:val="1F2937"/>
                <w:sz w:val="19"/>
                <w:szCs w:val="19"/>
              </w:rPr>
              <w:t xml:space="preserve">$2.1M</w:t>
            </w:r>
          </w:p>
        </w:tc>
        <w:tc>
          <w:tcPr>
            <w:tcW w:type="dxa" w:w="3226"/>
            <w:tcBorders>
              <w:top w:val="single" w:color="D0D7E2" w:sz="4"/>
              <w:left w:val="single" w:color="D0D7E2" w:sz="4"/>
              <w:bottom w:val="single" w:color="D0D7E2" w:sz="4"/>
              <w:right w:val="single" w:color="D0D7E2" w:sz="4"/>
            </w:tcBorders>
            <w:shd w:fill="F4F6FA" w:color="auto" w:val="clear"/>
            <w:tcMar>
              <w:top w:type="dxa" w:w="70"/>
              <w:left w:type="dxa" w:w="110"/>
              <w:bottom w:type="dxa" w:w="70"/>
              <w:right w:type="dxa" w:w="110"/>
            </w:tcMar>
            <w:vAlign w:val="center"/>
          </w:tcPr>
          <w:p>
            <w:pPr>
              <w:spacing w:after="0" w:line="260"/>
            </w:pPr>
            <w:r>
              <w:rPr>
                <w:rFonts w:ascii="Arial" w:cs="Arial" w:eastAsia="Arial" w:hAnsi="Arial"/>
                <w:b/>
                <w:bCs/>
                <w:color w:val="2A8C82"/>
                <w:sz w:val="19"/>
                <w:szCs w:val="19"/>
              </w:rPr>
              <w:t xml:space="preserve">Reduce by 40%</w:t>
            </w:r>
          </w:p>
        </w:tc>
      </w:tr>
    </w:tbl>
    <w:p>
      <w:pPr>
        <w:spacing w:after="160"/>
      </w:pPr>
    </w:p>
    <w:p>
      <w:pPr>
        <w:keepLines/>
        <w:spacing w:after="120" w:before="0" w:line="276"/>
      </w:pPr>
      <w:r>
        <w:rPr>
          <w:rFonts w:ascii="Arial" w:cs="Arial" w:eastAsia="Arial" w:hAnsi="Arial"/>
          <w:color w:val="1F2937"/>
          <w:sz w:val="21"/>
          <w:szCs w:val="21"/>
        </w:rPr>
        <w:t xml:space="preserve">With focused execution on the eight recommendations in this report, starting with the critical shipping mode audit and predictive alert system deployment, the business can systematically recover its delivery performance, protect its $7.5M profit base, and build the operational reliability that sustained e-commerce growth demands.</w:t>
      </w:r>
    </w:p>
    <w:sectPr>
      <w:headerReference w:type="default" r:id="rId7"/>
      <w:headerReference w:type="first" r:id="rId8"/>
      <w:footerReference w:type="default" r:id="rId9"/>
      <w:footerReference w:type="first" r:id="rId10"/>
      <w:pgSz w:w="11906" w:h="16838" w:orient="portrait"/>
      <w:pgMar w:top="1300" w:right="1440" w:bottom="1200" w:left="144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7"/>
        <w:szCs w:val="17"/>
      </w:rPr>
      <w:t xml:space="preserve">Page </w:t>
    </w:r>
    <w:r>
      <w:rPr>
        <w:rFonts w:ascii="Arial" w:cs="Arial" w:eastAsia="Arial" w:hAnsi="Arial"/>
        <w:color w:val="6B7280"/>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2" w:sz="4" w:space="4"/>
      </w:pBdr>
    </w:pPr>
    <w:r>
      <w:rPr>
        <w:rFonts w:ascii="Arial" w:cs="Arial" w:eastAsia="Arial" w:hAnsi="Arial"/>
        <w:color w:val="6B7280"/>
        <w:sz w:val="17"/>
        <w:szCs w:val="17"/>
      </w:rPr>
      <w:t xml:space="preserve">Supply Chain Performance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B2A4A"/>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2A8C82"/>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a7b254f7a2ca954ef1c01f5ccd91403e9bd45d9.png"/><Relationship Id="rId12" Type="http://schemas.openxmlformats.org/officeDocument/2006/relationships/image" Target="media/b0f3d7019b373968c1631eac6507286261ab04a9.png"/><Relationship Id="rId13" Type="http://schemas.openxmlformats.org/officeDocument/2006/relationships/image" Target="media/a7c21aefb88af139bd1136e578b8b1b18c1a9550.png"/><Relationship Id="rId14" Type="http://schemas.openxmlformats.org/officeDocument/2006/relationships/image" Target="media/945d23940191372ad3751cb1c9cab2d69a8f7a1b.png"/><Relationship Id="rId15" Type="http://schemas.openxmlformats.org/officeDocument/2006/relationships/image" Target="media/371351448d27039281a69c0ed0ad03d78c87cf63.png"/><Relationship Id="rId16" Type="http://schemas.openxmlformats.org/officeDocument/2006/relationships/image" Target="media/3fced4dc1a5cfe026557e7b92bb384e05779de60.png"/><Relationship Id="rId17" Type="http://schemas.openxmlformats.org/officeDocument/2006/relationships/image" Target="media/a413e52237d002145de519e7d74581af5745380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 Chain Performance Report</dc:title>
  <dc:creator>Data Analytics</dc:creator>
  <cp:lastModifiedBy>Un-named</cp:lastModifiedBy>
  <cp:revision>1</cp:revision>
  <dcterms:created xsi:type="dcterms:W3CDTF">2026-10-09T08:16:19.282Z</dcterms:created>
  <dcterms:modified xsi:type="dcterms:W3CDTF">2026-10-09T08:16:19.282Z</dcterms:modified>
</cp:coreProperties>
</file>

<file path=docProps/custom.xml><?xml version="1.0" encoding="utf-8"?>
<Properties xmlns="http://schemas.openxmlformats.org/officeDocument/2006/custom-properties" xmlns:vt="http://schemas.openxmlformats.org/officeDocument/2006/docPropsVTypes"/>
</file>