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80" w:before="0"/>
        <w:jc w:val="center"/>
      </w:pPr>
      <w:r>
        <w:rPr>
          <w:rFonts w:ascii="Times New Roman" w:cs="Times New Roman" w:eastAsia="Times New Roman" w:hAnsi="Times New Roman"/>
          <w:b/>
          <w:bCs/>
          <w:sz w:val="30"/>
          <w:szCs w:val="30"/>
        </w:rPr>
        <w:t xml:space="preserve">IPL Phase-Performance and Style-Drift Data Warehouse</w:t>
      </w:r>
    </w:p>
    <w:p>
      <w:pPr>
        <w:spacing w:after="30" w:before="0" w:line="252"/>
        <w:jc w:val="center"/>
      </w:pPr>
      <w:r>
        <w:rPr>
          <w:rFonts w:ascii="Times New Roman" w:cs="Times New Roman" w:eastAsia="Times New Roman" w:hAnsi="Times New Roman"/>
          <w:sz w:val="22"/>
          <w:szCs w:val="22"/>
        </w:rPr>
        <w:t xml:space="preserve">Data Wrangling Group Project Report  |  B.Tech CSE (Data Science), Semester V  |  NMIMS MPSTME, Mumbai  |  October 2026</w:t>
      </w:r>
    </w:p>
    <w:p>
      <w:pPr>
        <w:spacing w:after="160" w:before="0" w:line="252"/>
        <w:jc w:val="center"/>
      </w:pPr>
      <w:r>
        <w:rPr>
          <w:rFonts w:ascii="Times New Roman" w:cs="Times New Roman" w:eastAsia="Times New Roman" w:hAnsi="Times New Roman"/>
          <w:sz w:val="22"/>
          <w:szCs w:val="22"/>
        </w:rPr>
        <w:t xml:space="preserve">Group members: Sanjeet Singh Tuteja (L076), [Member 2 name, roll no.], [Member 3 name, roll no.]</w:t>
      </w:r>
    </w:p>
    <w:p>
      <w:pPr>
        <w:keepNext/>
        <w:spacing w:after="80" w:before="200"/>
        <w:jc w:val="left"/>
        <w:outlineLvl w:val="0"/>
      </w:pPr>
      <w:r>
        <w:rPr>
          <w:rFonts w:ascii="Times New Roman" w:cs="Times New Roman" w:eastAsia="Times New Roman" w:hAnsi="Times New Roman"/>
          <w:b/>
          <w:bCs/>
          <w:sz w:val="26"/>
          <w:szCs w:val="26"/>
        </w:rPr>
        <w:t xml:space="preserve">1. Objective</w:t>
      </w:r>
    </w:p>
    <w:p>
      <w:pPr>
        <w:spacing w:after="100" w:before="0" w:line="252"/>
        <w:jc w:val="both"/>
      </w:pPr>
      <w:r>
        <w:rPr>
          <w:rFonts w:ascii="Times New Roman" w:cs="Times New Roman" w:eastAsia="Times New Roman" w:hAnsi="Times New Roman"/>
          <w:sz w:val="22"/>
          <w:szCs w:val="22"/>
        </w:rPr>
        <w:t xml:space="preserve">The Indian Premier League's ball-by-ball records are public, but in raw form they cannot answer even simple questions reliably: teams have been renamed, the same ground appears under several names, seasons are stored as text, and wides and no-balls distort every per-ball rate. Our objective was to take seventeen seasons of these records (2008 to 2024) through the full wrangling pipeline into a validated SQLite star schema, and to use the result to answer two questions:</w:t>
      </w:r>
    </w:p>
    <w:p>
      <w:pPr>
        <w:pStyle w:val="ListParagraph"/>
        <w:numPr>
          <w:ilvl w:val="0"/>
          <w:numId w:val="2"/>
        </w:numPr>
        <w:spacing w:after="40" w:line="252"/>
        <w:jc w:val="left"/>
      </w:pPr>
      <w:r>
        <w:rPr>
          <w:rFonts w:ascii="Times New Roman" w:cs="Times New Roman" w:eastAsia="Times New Roman" w:hAnsi="Times New Roman"/>
          <w:b/>
          <w:bCs/>
          <w:sz w:val="22"/>
          <w:szCs w:val="22"/>
        </w:rPr>
        <w:t xml:space="preserve">Style drift.</w:t>
      </w:r>
      <w:r>
        <w:rPr>
          <w:rFonts w:ascii="Times New Roman" w:cs="Times New Roman" w:eastAsia="Times New Roman" w:hAnsi="Times New Roman"/>
          <w:sz w:val="22"/>
          <w:szCs w:val="22"/>
        </w:rPr>
        <w:t xml:space="preserve"> Does the phase of the innings in which a player mostly bats or bowls (Powerplay overs 1-6, Middle 7-15, Death 16-20) stay the same from season to season? Who changes, and how often?</w:t>
      </w:r>
    </w:p>
    <w:p>
      <w:pPr>
        <w:pStyle w:val="ListParagraph"/>
        <w:numPr>
          <w:ilvl w:val="0"/>
          <w:numId w:val="2"/>
        </w:numPr>
        <w:spacing w:after="100" w:line="252"/>
        <w:jc w:val="left"/>
      </w:pPr>
      <w:r>
        <w:rPr>
          <w:rFonts w:ascii="Times New Roman" w:cs="Times New Roman" w:eastAsia="Times New Roman" w:hAnsi="Times New Roman"/>
          <w:b/>
          <w:bCs/>
          <w:sz w:val="22"/>
          <w:szCs w:val="22"/>
        </w:rPr>
        <w:t xml:space="preserve">Powerplay signal.</w:t>
      </w:r>
      <w:r>
        <w:rPr>
          <w:rFonts w:ascii="Times New Roman" w:cs="Times New Roman" w:eastAsia="Times New Roman" w:hAnsi="Times New Roman"/>
          <w:sz w:val="22"/>
          <w:szCs w:val="22"/>
        </w:rPr>
        <w:t xml:space="preserve"> How much of a match result can be predicted from the first six overs of each innings?</w:t>
      </w:r>
    </w:p>
    <w:p>
      <w:pPr>
        <w:spacing w:after="100" w:before="0" w:line="252"/>
        <w:jc w:val="both"/>
      </w:pPr>
      <w:r>
        <w:rPr>
          <w:rFonts w:ascii="Times New Roman" w:cs="Times New Roman" w:eastAsia="Times New Roman" w:hAnsi="Times New Roman"/>
          <w:sz w:val="22"/>
          <w:szCs w:val="22"/>
        </w:rPr>
        <w:t xml:space="preserve">The second question defines our machine-learning task, and both feed a three-page Power BI dashboard.</w:t>
      </w:r>
    </w:p>
    <w:p>
      <w:pPr>
        <w:keepNext/>
        <w:spacing w:after="80" w:before="200"/>
        <w:jc w:val="left"/>
        <w:outlineLvl w:val="0"/>
      </w:pPr>
      <w:r>
        <w:rPr>
          <w:rFonts w:ascii="Times New Roman" w:cs="Times New Roman" w:eastAsia="Times New Roman" w:hAnsi="Times New Roman"/>
          <w:b/>
          <w:bCs/>
          <w:sz w:val="26"/>
          <w:szCs w:val="26"/>
        </w:rPr>
        <w:t xml:space="preserve">2. Dataset</w:t>
      </w:r>
    </w:p>
    <w:p>
      <w:pPr>
        <w:spacing w:after="100" w:before="0" w:line="252"/>
        <w:jc w:val="both"/>
      </w:pPr>
      <w:r>
        <w:rPr>
          <w:rFonts w:ascii="Times New Roman" w:cs="Times New Roman" w:eastAsia="Times New Roman" w:hAnsi="Times New Roman"/>
          <w:sz w:val="22"/>
          <w:szCs w:val="22"/>
        </w:rPr>
        <w:t xml:space="preserve">We used the Kaggle dataset </w:t>
      </w:r>
      <w:r>
        <w:rPr>
          <w:rFonts w:ascii="Times New Roman" w:cs="Times New Roman" w:eastAsia="Times New Roman" w:hAnsi="Times New Roman"/>
          <w:i/>
          <w:iCs/>
          <w:sz w:val="22"/>
          <w:szCs w:val="22"/>
        </w:rPr>
        <w:t xml:space="preserve">IPL Complete Dataset (2008-2024)</w:t>
      </w:r>
      <w:r>
        <w:rPr>
          <w:rFonts w:ascii="Times New Roman" w:cs="Times New Roman" w:eastAsia="Times New Roman" w:hAnsi="Times New Roman"/>
          <w:sz w:val="22"/>
          <w:szCs w:val="22"/>
        </w:rPr>
        <w:t xml:space="preserve"> by Prateek Bhardwaj (version 3, updated 8 June 2024), which is compiled from Cricsheet's ball-by-ball records. The database is published under the Open Database License and the underlying Cricsheet data under the Open Data Commons Attribution License, so both are credited. The data was downloaded on 18 October 2026 from Kaggle's public download endpoint; no API key, authentication or rate limits were involved.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50"/>
        <w:gridCol w:w="1450"/>
        <w:gridCol w:w="900"/>
        <w:gridCol w:w="600"/>
        <w:gridCol w:w="4626"/>
      </w:tblGrid>
      <w:tr>
        <w:trPr>
          <w:cantSplit/>
          <w:tblHeader/>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File</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Grain</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Rows</w:t>
            </w:r>
          </w:p>
        </w:tc>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Cols</w:t>
            </w:r>
          </w:p>
        </w:tc>
        <w:tc>
          <w:tcPr>
            <w:tcW w:type="dxa" w:w="4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Main fields</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matches.csv</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one row per match</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1,095</w:t>
            </w:r>
          </w:p>
        </w:tc>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20</w:t>
            </w:r>
          </w:p>
        </w:tc>
        <w:tc>
          <w:tcPr>
            <w:tcW w:type="dxa" w:w="4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season, date, city, venue, team1, team2, toss winner and decision, winner, result, margin, target, super over, method (D/L), umpires</w:t>
            </w:r>
          </w:p>
        </w:tc>
      </w:tr>
      <w:tr>
        <w:trPr>
          <w:cantSplit/>
          <w:tblHeader w:val="false"/>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deliveries.csv</w:t>
            </w:r>
          </w:p>
        </w:tc>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one row per ball</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260,920</w:t>
            </w:r>
          </w:p>
        </w:tc>
        <w:tc>
          <w:tcPr>
            <w:tcW w:type="dxa" w:w="6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17</w:t>
            </w:r>
          </w:p>
        </w:tc>
        <w:tc>
          <w:tcPr>
            <w:tcW w:type="dxa" w:w="46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match id, innings, batting and bowling team, over, ball, batter, bowler, non-striker, runs off bat, extras and type, wicket, dismissal kind, fielder</w:t>
            </w:r>
          </w:p>
        </w:tc>
      </w:tr>
    </w:tbl>
    <w:p>
      <w:pPr>
        <w:spacing w:after="100" w:before="40" w:line="252"/>
        <w:jc w:val="center"/>
      </w:pPr>
      <w:r>
        <w:rPr>
          <w:rFonts w:ascii="Times New Roman" w:cs="Times New Roman" w:eastAsia="Times New Roman" w:hAnsi="Times New Roman"/>
          <w:sz w:val="19"/>
          <w:szCs w:val="19"/>
        </w:rPr>
        <w:t xml:space="preserve">Table 1. The two raw files (2008-04-18 to 2024-05-26).</w:t>
      </w:r>
    </w:p>
    <w:p>
      <w:pPr>
        <w:spacing w:after="60" w:before="0" w:line="252"/>
        <w:jc w:val="both"/>
      </w:pPr>
      <w:r>
        <w:rPr>
          <w:rFonts w:ascii="Times New Roman" w:cs="Times New Roman" w:eastAsia="Times New Roman" w:hAnsi="Times New Roman"/>
          <w:sz w:val="22"/>
          <w:szCs w:val="22"/>
        </w:rPr>
        <w:t xml:space="preserve">The dataset meets every requirement in the brief: it is real and public, well above 1,000 rows, made of two related files that must be joined, has a clear prediction target (who wins) and many dashboard dimensions (season, team, venue, phase, player). It is also messy in ways that change the answers if ignored:</w:t>
      </w:r>
    </w:p>
    <w:p>
      <w:pPr>
        <w:pStyle w:val="ListParagraph"/>
        <w:numPr>
          <w:ilvl w:val="0"/>
          <w:numId w:val="2"/>
        </w:numPr>
        <w:spacing w:after="40" w:line="252"/>
        <w:jc w:val="left"/>
      </w:pPr>
      <w:r>
        <w:rPr>
          <w:rFonts w:ascii="Times New Roman" w:cs="Times New Roman" w:eastAsia="Times New Roman" w:hAnsi="Times New Roman"/>
          <w:sz w:val="22"/>
          <w:szCs w:val="22"/>
        </w:rPr>
        <w:t xml:space="preserve">19 team strings for 15 franchises (renames and a misspelling), and 58 venue strings for 36 grounds, with 51 matches missing a city;</w:t>
      </w:r>
    </w:p>
    <w:p>
      <w:pPr>
        <w:pStyle w:val="ListParagraph"/>
        <w:numPr>
          <w:ilvl w:val="0"/>
          <w:numId w:val="2"/>
        </w:numPr>
        <w:spacing w:after="40" w:line="252"/>
        <w:jc w:val="left"/>
      </w:pPr>
      <w:r>
        <w:rPr>
          <w:rFonts w:ascii="Times New Roman" w:cs="Times New Roman" w:eastAsia="Times New Roman" w:hAnsi="Times New Roman"/>
          <w:sz w:val="22"/>
          <w:szCs w:val="22"/>
        </w:rPr>
        <w:t xml:space="preserve">seasons stored as text on 178 matches ('2007/08' is IPL 2008) and overs numbered from 0;</w:t>
      </w:r>
    </w:p>
    <w:p>
      <w:pPr>
        <w:pStyle w:val="ListParagraph"/>
        <w:numPr>
          <w:ilvl w:val="0"/>
          <w:numId w:val="2"/>
        </w:numPr>
        <w:spacing w:after="40" w:line="252"/>
        <w:jc w:val="left"/>
      </w:pPr>
      <w:r>
        <w:rPr>
          <w:rFonts w:ascii="Times New Roman" w:cs="Times New Roman" w:eastAsia="Times New Roman" w:hAnsi="Times New Roman"/>
          <w:sz w:val="22"/>
          <w:szCs w:val="22"/>
        </w:rPr>
        <w:t xml:space="preserve">'NA' text instead of nulls (1,074 of 1,095 values in the D/L column) and about 95% structural nulls in the event columns;</w:t>
      </w:r>
    </w:p>
    <w:p>
      <w:pPr>
        <w:pStyle w:val="ListParagraph"/>
        <w:numPr>
          <w:ilvl w:val="0"/>
          <w:numId w:val="2"/>
        </w:numPr>
        <w:spacing w:after="40" w:line="252"/>
        <w:jc w:val="left"/>
      </w:pPr>
      <w:r>
        <w:rPr>
          <w:rFonts w:ascii="Times New Roman" w:cs="Times New Roman" w:eastAsia="Times New Roman" w:hAnsi="Times New Roman"/>
          <w:sz w:val="22"/>
          <w:szCs w:val="22"/>
        </w:rPr>
        <w:t xml:space="preserve">8,380 wides and 1,069 no-balls that are not legal balls, and 29 overs in which the umpires allowed seven legal balls;</w:t>
      </w:r>
    </w:p>
    <w:p>
      <w:pPr>
        <w:pStyle w:val="ListParagraph"/>
        <w:numPr>
          <w:ilvl w:val="0"/>
          <w:numId w:val="2"/>
        </w:numPr>
        <w:spacing w:after="100" w:line="252"/>
        <w:jc w:val="left"/>
      </w:pPr>
      <w:r>
        <w:rPr>
          <w:rFonts w:ascii="Times New Roman" w:cs="Times New Roman" w:eastAsia="Times New Roman" w:hAnsi="Times New Roman"/>
          <w:sz w:val="22"/>
          <w:szCs w:val="22"/>
        </w:rPr>
        <w:t xml:space="preserve">14 ties, 5 no-results, 14 Super Overs and 21 rain-affected (D/L) matches that break the 20-over structure.</w:t>
      </w:r>
    </w:p>
    <w:p>
      <w:pPr>
        <w:keepNext/>
        <w:spacing w:after="80" w:before="200"/>
        <w:jc w:val="left"/>
        <w:outlineLvl w:val="0"/>
      </w:pPr>
      <w:r>
        <w:rPr>
          <w:rFonts w:ascii="Times New Roman" w:cs="Times New Roman" w:eastAsia="Times New Roman" w:hAnsi="Times New Roman"/>
          <w:b/>
          <w:bCs/>
          <w:sz w:val="26"/>
          <w:szCs w:val="26"/>
        </w:rPr>
        <w:t xml:space="preserve">3. Methodology</w:t>
      </w:r>
    </w:p>
    <w:p>
      <w:pPr>
        <w:spacing w:after="100" w:before="0" w:line="252"/>
        <w:jc w:val="both"/>
      </w:pPr>
      <w:r>
        <w:rPr>
          <w:rFonts w:ascii="Times New Roman" w:cs="Times New Roman" w:eastAsia="Times New Roman" w:hAnsi="Times New Roman"/>
          <w:sz w:val="22"/>
          <w:szCs w:val="22"/>
        </w:rPr>
        <w:t xml:space="preserve">The pipeline is a Python package run by one command or by the submitted notebook, which executes end to end in about two and a half minutes. Every stage writes a log, and every modelling decision has an ID in a decision log (D-01 to D-20).</w:t>
      </w:r>
    </w:p>
    <w:p>
      <w:pPr>
        <w:keepNext/>
        <w:spacing w:after="80" w:before="140"/>
        <w:jc w:val="left"/>
        <w:outlineLvl w:val="1"/>
      </w:pPr>
      <w:r>
        <w:rPr>
          <w:rFonts w:ascii="Times New Roman" w:cs="Times New Roman" w:eastAsia="Times New Roman" w:hAnsi="Times New Roman"/>
          <w:b/>
          <w:bCs/>
          <w:sz w:val="23"/>
          <w:szCs w:val="23"/>
        </w:rPr>
        <w:t xml:space="preserve">3.1 Extraction</w:t>
      </w:r>
    </w:p>
    <w:p>
      <w:pPr>
        <w:spacing w:after="100" w:before="0" w:line="252"/>
        <w:jc w:val="both"/>
      </w:pPr>
      <w:r>
        <w:rPr>
          <w:rFonts w:ascii="Times New Roman" w:cs="Times New Roman" w:eastAsia="Times New Roman" w:hAnsi="Times New Roman"/>
          <w:sz w:val="22"/>
          <w:szCs w:val="22"/>
        </w:rPr>
        <w:t xml:space="preserve">The two files are downloaded, SHA-256 checksummed and recorded in an extraction log with the source URL, version and download date, then staged unchanged in SQLite as text. Nothing downstream edits the raw files, so every number can be traced back to a file hash. Before writing any cleaning code we profiled every column and tested the ten problems we expected; eight were confirmed.</w:t>
      </w:r>
    </w:p>
    <w:p>
      <w:pPr>
        <w:keepNext/>
        <w:spacing w:after="80" w:before="140"/>
        <w:jc w:val="left"/>
        <w:outlineLvl w:val="1"/>
      </w:pPr>
      <w:r>
        <w:rPr>
          <w:rFonts w:ascii="Times New Roman" w:cs="Times New Roman" w:eastAsia="Times New Roman" w:hAnsi="Times New Roman"/>
          <w:b/>
          <w:bCs/>
          <w:sz w:val="23"/>
          <w:szCs w:val="23"/>
        </w:rPr>
        <w:t xml:space="preserve">3.2 Cleaning</w:t>
      </w:r>
    </w:p>
    <w:p>
      <w:pPr>
        <w:spacing w:after="80" w:before="0" w:line="252"/>
        <w:jc w:val="both"/>
      </w:pPr>
      <w:r>
        <w:rPr>
          <w:rFonts w:ascii="Times New Roman" w:cs="Times New Roman" w:eastAsia="Times New Roman" w:hAnsi="Times New Roman"/>
          <w:sz w:val="22"/>
          <w:szCs w:val="22"/>
        </w:rPr>
        <w:t xml:space="preserve">Our rule was to flag rather than impute whenever a missing value carries meaning. Table 2 summarises the main decisions; the full log (54 rules, each with its row count) is submitted separately.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0"/>
        <w:gridCol w:w="3300"/>
        <w:gridCol w:w="2876"/>
      </w:tblGrid>
      <w:tr>
        <w:trPr>
          <w:cantSplit/>
          <w:tblHeader/>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Problem</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Decision</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Why</w:t>
            </w:r>
          </w:p>
        </w:tc>
      </w:tr>
      <w:tr>
        <w:trPr>
          <w:cantSplit/>
          <w:tblHeader w:val="false"/>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'NA' tokens; structural nulls in extras and dismissal columns</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Real NULLs; explicit category 'none'; never imputed</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Absence means no extra or no wicket</w:t>
            </w:r>
          </w:p>
        </w:tc>
      </w:tr>
      <w:tr>
        <w:trPr>
          <w:cantSplit/>
          <w:tblHeader w:val="false"/>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Missing city (51 matches)</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Filled from the venue mapping</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Deterministic lookup, not a guess</w:t>
            </w:r>
          </w:p>
        </w:tc>
      </w:tr>
      <w:tr>
        <w:trPr>
          <w:cantSplit/>
          <w:tblHeader w:val="false"/>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No winner (5 no-results, 14 ties)</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Left NULL; outcome in match_status</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 no-result has no winner</w:t>
            </w:r>
          </w:p>
        </w:tc>
      </w:tr>
      <w:tr>
        <w:trPr>
          <w:cantSplit/>
          <w:tblHeader w:val="false"/>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Season as text; overs 0-19</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Season = year of match date; overs shifted to 1-20</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Labels are ambiguous; phases use overs 1-20</w:t>
            </w:r>
          </w:p>
        </w:tc>
      </w:tr>
      <w:tr>
        <w:trPr>
          <w:cantSplit/>
          <w:tblHeader w:val="false"/>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Team renames and a misspelling</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Misspelling merged; renames kept as SCD Type 2 spells of one franchise</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A rename is history, not an error</w:t>
            </w:r>
          </w:p>
        </w:tc>
      </w:tr>
      <w:tr>
        <w:trPr>
          <w:cantSplit/>
          <w:tblHeader w:val="false"/>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58 venue strings</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Hand-checked mapping; renamed grounds merged (36 grounds)</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Compare the same physical ground</w:t>
            </w:r>
          </w:p>
        </w:tc>
      </w:tr>
      <w:tr>
        <w:trPr>
          <w:cantSplit/>
          <w:tblHeader w:val="false"/>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30 similar player-name pairs</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Not merged; only identical name keys merge</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13 pairs played in the same match; a wrong merge is worse than a missed one</w:t>
            </w:r>
          </w:p>
        </w:tc>
      </w:tr>
      <w:tr>
        <w:trPr>
          <w:cantSplit/>
          <w:tblHeader w:val="false"/>
        </w:trPr>
        <w:tc>
          <w:tcPr>
            <w:tcW w:type="dxa" w:w="28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29 seven-ball overs</w:t>
            </w:r>
          </w:p>
        </w:tc>
        <w:tc>
          <w:tcPr>
            <w:tcW w:type="dxa" w:w="33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Kept and listed as exceptions</w:t>
            </w:r>
          </w:p>
        </w:tc>
        <w:tc>
          <w:tcPr>
            <w:tcW w:type="dxa" w:w="28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Real umpire miscounts, recorded as bowled</w:t>
            </w:r>
          </w:p>
        </w:tc>
      </w:tr>
    </w:tbl>
    <w:p>
      <w:pPr>
        <w:spacing w:after="60" w:before="40" w:line="252"/>
        <w:jc w:val="center"/>
      </w:pPr>
      <w:r>
        <w:rPr>
          <w:rFonts w:ascii="Times New Roman" w:cs="Times New Roman" w:eastAsia="Times New Roman" w:hAnsi="Times New Roman"/>
          <w:sz w:val="19"/>
          <w:szCs w:val="19"/>
        </w:rPr>
        <w:t xml:space="preserve">Table 2. Main cleaning decisions.</w:t>
      </w:r>
    </w:p>
    <w:p>
      <w:pPr>
        <w:keepNext/>
        <w:spacing w:after="80" w:before="140"/>
        <w:jc w:val="left"/>
        <w:outlineLvl w:val="1"/>
      </w:pPr>
      <w:r>
        <w:rPr>
          <w:rFonts w:ascii="Times New Roman" w:cs="Times New Roman" w:eastAsia="Times New Roman" w:hAnsi="Times New Roman"/>
          <w:b/>
          <w:bCs/>
          <w:sz w:val="23"/>
          <w:szCs w:val="23"/>
        </w:rPr>
        <w:t xml:space="preserve">3.3 Transformation</w:t>
      </w:r>
    </w:p>
    <w:p>
      <w:pPr>
        <w:spacing w:after="100" w:before="0" w:line="252"/>
        <w:jc w:val="both"/>
      </w:pPr>
      <w:r>
        <w:rPr>
          <w:rFonts w:ascii="Times New Roman" w:cs="Times New Roman" w:eastAsia="Times New Roman" w:hAnsi="Times New Roman"/>
          <w:b/>
          <w:bCs/>
          <w:sz w:val="22"/>
          <w:szCs w:val="22"/>
        </w:rPr>
        <w:t xml:space="preserve">Reshape and aggregation.</w:t>
      </w:r>
      <w:r>
        <w:rPr>
          <w:rFonts w:ascii="Times New Roman" w:cs="Times New Roman" w:eastAsia="Times New Roman" w:hAnsi="Times New Roman"/>
          <w:sz w:val="22"/>
          <w:szCs w:val="22"/>
        </w:rPr>
        <w:t xml:space="preserve"> Deliveries are grouped by match, innings and phase and then pivoted so each match becomes one row with first- and second-innings Powerplay runs, wickets, boundaries, dot-ball percentage and run rate. The notebook re-derives this table in plain pandas and checks that it matches the warehouse exactly.</w:t>
      </w:r>
    </w:p>
    <w:p>
      <w:pPr>
        <w:spacing w:after="100" w:before="0" w:line="252"/>
        <w:jc w:val="both"/>
      </w:pPr>
      <w:r>
        <w:rPr>
          <w:rFonts w:ascii="Times New Roman" w:cs="Times New Roman" w:eastAsia="Times New Roman" w:hAnsi="Times New Roman"/>
          <w:b/>
          <w:bCs/>
          <w:sz w:val="22"/>
          <w:szCs w:val="22"/>
        </w:rPr>
        <w:t xml:space="preserve">Engineered features.</w:t>
      </w:r>
      <w:r>
        <w:rPr>
          <w:rFonts w:ascii="Times New Roman" w:cs="Times New Roman" w:eastAsia="Times New Roman" w:hAnsi="Times New Roman"/>
          <w:sz w:val="22"/>
          <w:szCs w:val="22"/>
        </w:rPr>
        <w:t xml:space="preserve"> Every ball gets a phase and two legal-ball flags (wides and no-balls are not legal for the bowler; wides are not faced by the batter). For the first question we derived a </w:t>
      </w:r>
      <w:r>
        <w:rPr>
          <w:rFonts w:ascii="Times New Roman" w:cs="Times New Roman" w:eastAsia="Times New Roman" w:hAnsi="Times New Roman"/>
          <w:b/>
          <w:bCs/>
          <w:sz w:val="22"/>
          <w:szCs w:val="22"/>
        </w:rPr>
        <w:t xml:space="preserve">phase index</w:t>
      </w:r>
      <w:r>
        <w:rPr>
          <w:rFonts w:ascii="Times New Roman" w:cs="Times New Roman" w:eastAsia="Times New Roman" w:hAnsi="Times New Roman"/>
          <w:sz w:val="22"/>
          <w:szCs w:val="22"/>
        </w:rPr>
        <w:t xml:space="preserve">: a player's share of his balls that fall in a phase, divided by the league's share for the same role and season. Without it the Middle overs, which are 9 of the 20, would make almost every player a "Middle" player. A player's primary phase is the phase with the highest index in a season with at least 60 balls (re-checked at 120). For the models we built time-aware features: each franchise's previous-season win percentage and each venue's average first-innings score from earlier matches only.</w:t>
      </w:r>
    </w:p>
    <w:p>
      <w:pPr>
        <w:spacing w:after="100" w:before="0" w:line="252"/>
        <w:jc w:val="both"/>
      </w:pPr>
      <w:r>
        <w:rPr>
          <w:rFonts w:ascii="Times New Roman" w:cs="Times New Roman" w:eastAsia="Times New Roman" w:hAnsi="Times New Roman"/>
          <w:b/>
          <w:bCs/>
          <w:sz w:val="22"/>
          <w:szCs w:val="22"/>
        </w:rPr>
        <w:t xml:space="preserve">History.</w:t>
      </w:r>
      <w:r>
        <w:rPr>
          <w:rFonts w:ascii="Times New Roman" w:cs="Times New Roman" w:eastAsia="Times New Roman" w:hAnsi="Times New Roman"/>
          <w:sz w:val="22"/>
          <w:szCs w:val="22"/>
        </w:rPr>
        <w:t xml:space="preserve"> A Type 2 slowly changing dimension stores each player's primary phase as spells with valid-from and valid-to seasons (1,187 spells), so a change of role closes one row and opens another instead of overwriting it.</w:t>
      </w:r>
    </w:p>
    <w:p>
      <w:pPr>
        <w:keepNext/>
        <w:spacing w:after="80" w:before="140"/>
        <w:jc w:val="left"/>
        <w:outlineLvl w:val="1"/>
      </w:pPr>
      <w:r>
        <w:rPr>
          <w:rFonts w:ascii="Times New Roman" w:cs="Times New Roman" w:eastAsia="Times New Roman" w:hAnsi="Times New Roman"/>
          <w:b/>
          <w:bCs/>
          <w:sz w:val="23"/>
          <w:szCs w:val="23"/>
        </w:rPr>
        <w:t xml:space="preserve">3.4 Loading and validation</w:t>
      </w:r>
    </w:p>
    <w:p>
      <w:pPr>
        <w:spacing w:after="100" w:before="0" w:line="252"/>
        <w:jc w:val="both"/>
      </w:pPr>
      <w:r>
        <w:rPr>
          <w:rFonts w:ascii="Times New Roman" w:cs="Times New Roman" w:eastAsia="Times New Roman" w:hAnsi="Times New Roman"/>
          <w:sz w:val="22"/>
          <w:szCs w:val="22"/>
        </w:rPr>
        <w:t xml:space="preserve">The wrangled data is loaded into SQLite as a star schema (Figure 1) with three fact tables at different grains (260,920 deliveries, 1,095 matches, 13,695 player-season-phase rows) and seven dimensions, plus analysis views, CSV exports and an Excel workbook for Power BI. Nine validation gates must pass before anything is exported: referential integrity on all 28 foreign keys, a unique grain key, run arithmetic, targets equal to first-innings totals plus one (21 shortened or D/L matches listed), legal-ball limits (seven-ball overs listed), no unmapped names, valid winners, non-overlapping SCD spells, and row counts reconciled from raw files to warehouse. All nine pass.</w:t>
      </w:r>
    </w:p>
    <w:p>
      <w:pPr>
        <w:keepNext/>
        <w:spacing w:after="40" w:before="60"/>
        <w:jc w:val="center"/>
      </w:pPr>
      <w:r>
        <w:drawing>
          <wp:inline distT="0" distB="0" distL="0" distR="0">
            <wp:extent cx="4210050" cy="3962400"/>
            <wp:effectExtent t="0" r="0" b="0" l="0"/>
            <wp:docPr id="1" name="er_diagram_keys.png" descr="ER diagram" title="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3962400"/>
                    </a:xfrm>
                    <a:prstGeom prst="rect">
                      <a:avLst/>
                    </a:prstGeom>
                  </pic:spPr>
                </pic:pic>
              </a:graphicData>
            </a:graphic>
          </wp:inline>
        </w:drawing>
      </w:r>
    </w:p>
    <w:p>
      <w:pPr>
        <w:spacing w:after="140"/>
        <w:jc w:val="center"/>
      </w:pPr>
      <w:r>
        <w:rPr>
          <w:rFonts w:ascii="Times New Roman" w:cs="Times New Roman" w:eastAsia="Times New Roman" w:hAnsi="Times New Roman"/>
          <w:sz w:val="19"/>
          <w:szCs w:val="19"/>
        </w:rPr>
        <w:t xml:space="preserve">Figure 1. Star schema with every primary and foreign key (crow's foot = many side).</w:t>
      </w:r>
    </w:p>
    <w:p>
      <w:pPr>
        <w:keepNext/>
        <w:spacing w:after="80" w:before="200"/>
        <w:jc w:val="left"/>
        <w:outlineLvl w:val="0"/>
      </w:pPr>
      <w:r>
        <w:rPr>
          <w:rFonts w:ascii="Times New Roman" w:cs="Times New Roman" w:eastAsia="Times New Roman" w:hAnsi="Times New Roman"/>
          <w:b/>
          <w:bCs/>
          <w:sz w:val="26"/>
          <w:szCs w:val="26"/>
        </w:rPr>
        <w:t xml:space="preserve">4. Insights</w:t>
      </w:r>
    </w:p>
    <w:p>
      <w:pPr>
        <w:keepNext/>
        <w:spacing w:after="80" w:before="140"/>
        <w:jc w:val="left"/>
        <w:outlineLvl w:val="1"/>
      </w:pPr>
      <w:r>
        <w:rPr>
          <w:rFonts w:ascii="Times New Roman" w:cs="Times New Roman" w:eastAsia="Times New Roman" w:hAnsi="Times New Roman"/>
          <w:b/>
          <w:bCs/>
          <w:sz w:val="23"/>
          <w:szCs w:val="23"/>
        </w:rPr>
        <w:t xml:space="preserve">4.1 The scoring boom is front-loaded</w:t>
      </w:r>
    </w:p>
    <w:p>
      <w:pPr>
        <w:spacing w:after="100" w:before="0" w:line="252"/>
        <w:jc w:val="both"/>
      </w:pPr>
      <w:r>
        <w:rPr>
          <w:rFonts w:ascii="Times New Roman" w:cs="Times New Roman" w:eastAsia="Times New Roman" w:hAnsi="Times New Roman"/>
          <w:sz w:val="22"/>
          <w:szCs w:val="22"/>
        </w:rPr>
        <w:t xml:space="preserve">Between 2008 and 2024 the Powerplay run rate rose from 7.70 to 9.46 runs per over (+23%), against +10.5% in the Middle overs and +12.7% at the Death (Figure 2). Most of the rise came in the last two seasons: +21% from 2022 to 2024, the first two seasons of the Impact Player rule, while average first-innings totals went from 171 to 190. Powerplay batters now hit a boundary off 24.9% of balls faced (19.7% in 2008) and the dot-ball share has fallen from 49.7% to 42.0%. The usual story is that T20 scoring grew through Death-overs hitting; since 2022 the bigger change has been at the start of the innings. This is an association: the rule change is a plausible cause, not a proven one.</w:t>
      </w:r>
    </w:p>
    <w:p>
      <w:pPr>
        <w:keepNext/>
        <w:spacing w:after="40" w:before="60"/>
        <w:jc w:val="center"/>
      </w:pPr>
      <w:r>
        <w:drawing>
          <wp:inline distT="0" distB="0" distL="0" distR="0">
            <wp:extent cx="4114800" cy="2162175"/>
            <wp:effectExtent t="0" r="0" b="0" l="0"/>
            <wp:docPr id="1" name="q2_league_phase_rates.png" descr="Run rate by phase" title="Run rate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4800" cy="2162175"/>
                    </a:xfrm>
                    <a:prstGeom prst="rect">
                      <a:avLst/>
                    </a:prstGeom>
                  </pic:spPr>
                </pic:pic>
              </a:graphicData>
            </a:graphic>
          </wp:inline>
        </w:drawing>
      </w:r>
    </w:p>
    <w:p>
      <w:pPr>
        <w:spacing w:after="140"/>
        <w:jc w:val="center"/>
      </w:pPr>
      <w:r>
        <w:rPr>
          <w:rFonts w:ascii="Times New Roman" w:cs="Times New Roman" w:eastAsia="Times New Roman" w:hAnsi="Times New Roman"/>
          <w:sz w:val="19"/>
          <w:szCs w:val="19"/>
        </w:rPr>
        <w:t xml:space="preserve">Figure 2. League run rate by phase and season.</w:t>
      </w:r>
    </w:p>
    <w:p>
      <w:pPr>
        <w:keepNext/>
        <w:spacing w:after="80" w:before="140"/>
        <w:jc w:val="left"/>
        <w:outlineLvl w:val="1"/>
      </w:pPr>
      <w:r>
        <w:rPr>
          <w:rFonts w:ascii="Times New Roman" w:cs="Times New Roman" w:eastAsia="Times New Roman" w:hAnsi="Times New Roman"/>
          <w:b/>
          <w:bCs/>
          <w:sz w:val="23"/>
          <w:szCs w:val="23"/>
        </w:rPr>
        <w:t xml:space="preserve">4.2 Winning the Powerplay matters, but not decisively</w:t>
      </w:r>
    </w:p>
    <w:p>
      <w:pPr>
        <w:spacing w:after="100" w:before="0" w:line="252"/>
        <w:jc w:val="both"/>
      </w:pPr>
      <w:r>
        <w:rPr>
          <w:rFonts w:ascii="Times New Roman" w:cs="Times New Roman" w:eastAsia="Times New Roman" w:hAnsi="Times New Roman"/>
          <w:sz w:val="22"/>
          <w:szCs w:val="22"/>
        </w:rPr>
        <w:t xml:space="preserve">In 1,055 completed full-length matches the side with the higher Powerplay run rate won 65.5% of the time. The effect is graded (Figure 3): when the team batting first out-scored the chasers' Powerplay by more than three runs an over it won 82% of matches, and when it was out-scored by that much it won 19% (point-biserial r = 0.35). Still, about one match in three goes to the side that lost the Powerplay.</w:t>
      </w:r>
    </w:p>
    <w:p>
      <w:pPr>
        <w:keepNext/>
        <w:spacing w:after="40" w:before="60"/>
        <w:jc w:val="center"/>
      </w:pPr>
      <w:r>
        <w:drawing>
          <wp:inline distT="0" distB="0" distL="0" distR="0">
            <wp:extent cx="4114800" cy="2162175"/>
            <wp:effectExtent t="0" r="0" b="0" l="0"/>
            <wp:docPr id="1" name="q6_powerplay_win_rate.png" descr="Powerplay difference" title="Powerplay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162175"/>
                    </a:xfrm>
                    <a:prstGeom prst="rect">
                      <a:avLst/>
                    </a:prstGeom>
                  </pic:spPr>
                </pic:pic>
              </a:graphicData>
            </a:graphic>
          </wp:inline>
        </w:drawing>
      </w:r>
    </w:p>
    <w:p>
      <w:pPr>
        <w:spacing w:after="140"/>
        <w:jc w:val="center"/>
      </w:pPr>
      <w:r>
        <w:rPr>
          <w:rFonts w:ascii="Times New Roman" w:cs="Times New Roman" w:eastAsia="Times New Roman" w:hAnsi="Times New Roman"/>
          <w:sz w:val="19"/>
          <w:szCs w:val="19"/>
        </w:rPr>
        <w:t xml:space="preserve">Figure 3. Batting-first win rate by the difference between the two Powerplay run rates.</w:t>
      </w:r>
    </w:p>
    <w:p>
      <w:pPr>
        <w:keepNext/>
        <w:spacing w:after="80" w:before="140"/>
        <w:jc w:val="left"/>
        <w:outlineLvl w:val="1"/>
      </w:pPr>
      <w:r>
        <w:rPr>
          <w:rFonts w:ascii="Times New Roman" w:cs="Times New Roman" w:eastAsia="Times New Roman" w:hAnsi="Times New Roman"/>
          <w:b/>
          <w:bCs/>
          <w:sz w:val="23"/>
          <w:szCs w:val="23"/>
        </w:rPr>
        <w:t xml:space="preserve">4.3 The toss is a coin flip; the decision after it is not</w:t>
      </w:r>
    </w:p>
    <w:p>
      <w:pPr>
        <w:spacing w:after="100" w:before="0" w:line="252"/>
        <w:jc w:val="both"/>
      </w:pPr>
      <w:r>
        <w:rPr>
          <w:rFonts w:ascii="Times New Roman" w:cs="Times New Roman" w:eastAsia="Times New Roman" w:hAnsi="Times New Roman"/>
          <w:sz w:val="22"/>
          <w:szCs w:val="22"/>
        </w:rPr>
        <w:t xml:space="preserve">Toss winners won 50.8% of decided matches. Those who chose to field won 53.9% (377 of 700) against 45.4% (177 of 390) for those who chose to bat; a chi-square test of independence gives χ² = 6.86, p = 0.009. Captains appear to have learned this: the share choosing to field moved between 35% and 66% a season before 2014 and stayed above 80% from 2016 to 2019. No single ground shows a significant effect on its own (15 grounds with 20+ matches tested, smallest p = 0.051), so the effect is real but small.</w:t>
      </w:r>
    </w:p>
    <w:p>
      <w:pPr>
        <w:keepNext/>
        <w:spacing w:after="80" w:before="140"/>
        <w:jc w:val="left"/>
        <w:outlineLvl w:val="1"/>
      </w:pPr>
      <w:r>
        <w:rPr>
          <w:rFonts w:ascii="Times New Roman" w:cs="Times New Roman" w:eastAsia="Times New Roman" w:hAnsi="Times New Roman"/>
          <w:b/>
          <w:bCs/>
          <w:sz w:val="23"/>
          <w:szCs w:val="23"/>
        </w:rPr>
        <w:t xml:space="preserve">4.4 A player's phase is not a fixed trait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200"/>
        <w:gridCol w:w="2400"/>
        <w:gridCol w:w="2700"/>
        <w:gridCol w:w="1226"/>
      </w:tblGrid>
      <w:tr>
        <w:trPr>
          <w:cantSplit/>
          <w:tblHeader/>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Qualification</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Role</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Players with 2+ qualifying seasons</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Changed primary phase at least once</w:t>
            </w:r>
          </w:p>
        </w:tc>
        <w:tc>
          <w:tcPr>
            <w:tcW w:type="dxa" w:w="12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Share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60 balls</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batting</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188</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115</w:t>
            </w:r>
          </w:p>
        </w:tc>
        <w:tc>
          <w:tcPr>
            <w:tcW w:type="dxa" w:w="12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61%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60 balls</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bowling</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241</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134</w:t>
            </w:r>
          </w:p>
        </w:tc>
        <w:tc>
          <w:tcPr>
            <w:tcW w:type="dxa" w:w="12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56%</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120 balls</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batting</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132</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83</w:t>
            </w:r>
          </w:p>
        </w:tc>
        <w:tc>
          <w:tcPr>
            <w:tcW w:type="dxa" w:w="12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63%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120 balls</w:t>
            </w:r>
          </w:p>
        </w:tc>
        <w:tc>
          <w:tcPr>
            <w:tcW w:type="dxa" w:w="12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bowling</w:t>
            </w:r>
          </w:p>
        </w:tc>
        <w:tc>
          <w:tcPr>
            <w:tcW w:type="dxa" w:w="24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150</w:t>
            </w:r>
          </w:p>
        </w:tc>
        <w:tc>
          <w:tcPr>
            <w:tcW w:type="dxa" w:w="27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81</w:t>
            </w:r>
          </w:p>
        </w:tc>
        <w:tc>
          <w:tcPr>
            <w:tcW w:type="dxa" w:w="122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54%</w:t>
            </w:r>
          </w:p>
        </w:tc>
      </w:tr>
    </w:tbl>
    <w:p>
      <w:pPr>
        <w:spacing w:after="100" w:before="40" w:line="252"/>
        <w:jc w:val="center"/>
      </w:pPr>
      <w:r>
        <w:rPr>
          <w:rFonts w:ascii="Times New Roman" w:cs="Times New Roman" w:eastAsia="Times New Roman" w:hAnsi="Times New Roman"/>
          <w:sz w:val="19"/>
          <w:szCs w:val="19"/>
        </w:rPr>
        <w:t xml:space="preserve">Table 3. Players who changed primary phase, at two qualification thresholds.</w:t>
      </w:r>
    </w:p>
    <w:p>
      <w:pPr>
        <w:spacing w:after="100" w:before="0" w:line="252"/>
        <w:jc w:val="both"/>
      </w:pPr>
      <w:r>
        <w:rPr>
          <w:rFonts w:ascii="Times New Roman" w:cs="Times New Roman" w:eastAsia="Times New Roman" w:hAnsi="Times New Roman"/>
          <w:sz w:val="22"/>
          <w:szCs w:val="22"/>
        </w:rPr>
        <w:t xml:space="preserve">Most players change primary phase at least once, and the share barely moves when the threshold is doubled, so it is not small-sample noise (Table 3). The type of move differs by role: 90% of batters' moves (241 of 269) involve the Middle overs, a step up or down the batting order, while 47% of bowlers' moves (127 of 271) are swaps between the Powerplay and the Death, the two specialist roles. The method passes a sanity check on familiar players: MS Dhoni has been a Death-overs batter in every qualifying season since 2011, and Hardik Pandya moved from Death (2015-21) to Middle from 2022, when he moved up the order as Gujarat Titans captain.</w:t>
      </w:r>
    </w:p>
    <w:p>
      <w:pPr>
        <w:keepNext/>
        <w:spacing w:after="80" w:before="200"/>
        <w:jc w:val="left"/>
        <w:outlineLvl w:val="0"/>
      </w:pPr>
      <w:r>
        <w:rPr>
          <w:rFonts w:ascii="Times New Roman" w:cs="Times New Roman" w:eastAsia="Times New Roman" w:hAnsi="Times New Roman"/>
          <w:b/>
          <w:bCs/>
          <w:sz w:val="26"/>
          <w:szCs w:val="26"/>
        </w:rPr>
        <w:t xml:space="preserve">5. Machine learning</w:t>
      </w:r>
    </w:p>
    <w:p>
      <w:pPr>
        <w:spacing w:after="100" w:before="0" w:line="252"/>
        <w:jc w:val="both"/>
      </w:pPr>
      <w:r>
        <w:rPr>
          <w:rFonts w:ascii="Times New Roman" w:cs="Times New Roman" w:eastAsia="Times New Roman" w:hAnsi="Times New Roman"/>
          <w:b/>
          <w:bCs/>
          <w:sz w:val="22"/>
          <w:szCs w:val="22"/>
        </w:rPr>
        <w:t xml:space="preserve">Task.</w:t>
      </w:r>
      <w:r>
        <w:rPr>
          <w:rFonts w:ascii="Times New Roman" w:cs="Times New Roman" w:eastAsia="Times New Roman" w:hAnsi="Times New Roman"/>
          <w:sz w:val="22"/>
          <w:szCs w:val="22"/>
        </w:rPr>
        <w:t xml:space="preserve"> Binary classification of whether the team batting first wins, on the 1,055 completed full-length matches. So that each prediction uses only what is known at the time, there are two feature sets. </w:t>
      </w:r>
      <w:r>
        <w:rPr>
          <w:rFonts w:ascii="Times New Roman" w:cs="Times New Roman" w:eastAsia="Times New Roman" w:hAnsi="Times New Roman"/>
          <w:b/>
          <w:bCs/>
          <w:sz w:val="22"/>
          <w:szCs w:val="22"/>
        </w:rPr>
        <w:t xml:space="preserve">Model A</w:t>
      </w:r>
      <w:r>
        <w:rPr>
          <w:rFonts w:ascii="Times New Roman" w:cs="Times New Roman" w:eastAsia="Times New Roman" w:hAnsi="Times New Roman"/>
          <w:sz w:val="22"/>
          <w:szCs w:val="22"/>
        </w:rPr>
        <w:t xml:space="preserve"> uses information available after the first-innings Powerplay (that Powerplay, the toss, venue history, both teams' previous-season form); </w:t>
      </w:r>
      <w:r>
        <w:rPr>
          <w:rFonts w:ascii="Times New Roman" w:cs="Times New Roman" w:eastAsia="Times New Roman" w:hAnsi="Times New Roman"/>
          <w:b/>
          <w:bCs/>
          <w:sz w:val="22"/>
          <w:szCs w:val="22"/>
        </w:rPr>
        <w:t xml:space="preserve">Model B</w:t>
      </w:r>
      <w:r>
        <w:rPr>
          <w:rFonts w:ascii="Times New Roman" w:cs="Times New Roman" w:eastAsia="Times New Roman" w:hAnsi="Times New Roman"/>
          <w:sz w:val="22"/>
          <w:szCs w:val="22"/>
        </w:rPr>
        <w:t xml:space="preserve"> adds the chasing side's Powerplay.</w:t>
      </w:r>
    </w:p>
    <w:p>
      <w:pPr>
        <w:spacing w:after="100" w:before="0" w:line="252"/>
        <w:jc w:val="both"/>
      </w:pPr>
      <w:r>
        <w:rPr>
          <w:rFonts w:ascii="Times New Roman" w:cs="Times New Roman" w:eastAsia="Times New Roman" w:hAnsi="Times New Roman"/>
          <w:b/>
          <w:bCs/>
          <w:sz w:val="22"/>
          <w:szCs w:val="22"/>
        </w:rPr>
        <w:t xml:space="preserve">Models and baselines.</w:t>
      </w:r>
      <w:r>
        <w:rPr>
          <w:rFonts w:ascii="Times New Roman" w:cs="Times New Roman" w:eastAsia="Times New Roman" w:hAnsi="Times New Roman"/>
          <w:sz w:val="22"/>
          <w:szCs w:val="22"/>
        </w:rPr>
        <w:t xml:space="preserve"> Logistic regression (linear and interpretable), a decision tree (readable rules) and a random forest (non-linear, lower variance), each compared with two baselines: always predicting the training majority class, and a cricket rule of thumb (for Model B, "the side with the higher Powerplay run rate wins").</w:t>
      </w:r>
    </w:p>
    <w:p>
      <w:pPr>
        <w:spacing w:after="80" w:before="0" w:line="252"/>
        <w:jc w:val="both"/>
      </w:pPr>
      <w:r>
        <w:rPr>
          <w:rFonts w:ascii="Times New Roman" w:cs="Times New Roman" w:eastAsia="Times New Roman" w:hAnsi="Times New Roman"/>
          <w:b/>
          <w:bCs/>
          <w:sz w:val="22"/>
          <w:szCs w:val="22"/>
        </w:rPr>
        <w:t xml:space="preserve">Methodology.</w:t>
      </w:r>
      <w:r>
        <w:rPr>
          <w:rFonts w:ascii="Times New Roman" w:cs="Times New Roman" w:eastAsia="Times New Roman" w:hAnsi="Times New Roman"/>
          <w:sz w:val="22"/>
          <w:szCs w:val="22"/>
        </w:rPr>
        <w:t xml:space="preserve"> Seasons are split in time order: training 2008-2021 (839 matches), validation 2022 (74) and test 2023-24 (142); a random split would let the models learn from the future. Imputation and scaling sit inside a scikit-learn pipeline, so they are fitted on training folds only. Hyper-parameters were chosen by forward-chaining cross-validation on ROC-AUC (each of 14 folds trains on earlier seasons and validates on the next), and the test seasons were scored once.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900"/>
        <w:gridCol w:w="1000"/>
        <w:gridCol w:w="1000"/>
        <w:gridCol w:w="900"/>
        <w:gridCol w:w="900"/>
        <w:gridCol w:w="1176"/>
      </w:tblGrid>
      <w:tr>
        <w:trPr>
          <w:cantSplit/>
          <w:tblHeader/>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bCs/>
                <w:sz w:val="19"/>
                <w:szCs w:val="19"/>
              </w:rPr>
              <w:t xml:space="preserve">Feature set</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bCs/>
                <w:sz w:val="19"/>
                <w:szCs w:val="19"/>
              </w:rPr>
              <w:t xml:space="preserve">Model</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Accuracy</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Precision</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Recall</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F1</w:t>
            </w:r>
          </w:p>
        </w:tc>
        <w:tc>
          <w:tcPr>
            <w:tcW w:type="dxa" w:w="11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bCs/>
                <w:sz w:val="19"/>
                <w:szCs w:val="19"/>
              </w:rPr>
              <w:t xml:space="preserve">ROC-AUC</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9"/>
                <w:szCs w:val="19"/>
              </w:rPr>
              <w:t xml:space="preserve">B</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Majority-class baseline</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47.9</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0.00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0.00</w:t>
            </w:r>
          </w:p>
        </w:tc>
        <w:tc>
          <w:tcPr>
            <w:tcW w:type="dxa" w:w="11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0.50</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9"/>
                <w:szCs w:val="19"/>
              </w:rPr>
              <w:t xml:space="preserve">B</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Rule: higher PP run rate wins</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66.9</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0.70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0.67</w:t>
            </w:r>
          </w:p>
        </w:tc>
        <w:tc>
          <w:tcPr>
            <w:tcW w:type="dxa" w:w="11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0.73</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9"/>
                <w:szCs w:val="19"/>
              </w:rPr>
              <w:t xml:space="preserve">B</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Logistic regression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68.3</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0.72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0.64</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0.68</w:t>
            </w:r>
          </w:p>
        </w:tc>
        <w:tc>
          <w:tcPr>
            <w:tcW w:type="dxa" w:w="11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0.73</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9"/>
                <w:szCs w:val="19"/>
              </w:rPr>
              <w:t xml:space="preserve">B</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Decision tree</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65.5</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0.70</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0.58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0.64</w:t>
            </w:r>
          </w:p>
        </w:tc>
        <w:tc>
          <w:tcPr>
            <w:tcW w:type="dxa" w:w="11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0.69</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9"/>
                <w:szCs w:val="19"/>
              </w:rPr>
              <w:t xml:space="preserve">B</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Random forest</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66.2</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0.71</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0.59</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0.65</w:t>
            </w:r>
          </w:p>
        </w:tc>
        <w:tc>
          <w:tcPr>
            <w:tcW w:type="dxa" w:w="11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0.75</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9"/>
                <w:szCs w:val="19"/>
              </w:rPr>
              <w:t xml:space="preserve">A</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Rule: PP run rate above median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59.2</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0.58</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0.82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0.68</w:t>
            </w:r>
          </w:p>
        </w:tc>
        <w:tc>
          <w:tcPr>
            <w:tcW w:type="dxa" w:w="11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0.67</w:t>
            </w:r>
          </w:p>
        </w:tc>
      </w:tr>
      <w:tr>
        <w:trPr>
          <w:cantSplit/>
          <w:tblHeader w:val="false"/>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center"/>
            </w:pPr>
            <w:r>
              <w:rPr>
                <w:rFonts w:ascii="Times New Roman" w:cs="Times New Roman" w:eastAsia="Times New Roman" w:hAnsi="Times New Roman"/>
                <w:b w:val="false"/>
                <w:bCs w:val="false"/>
                <w:sz w:val="19"/>
                <w:szCs w:val="19"/>
              </w:rPr>
              <w:t xml:space="preserve">A</w:t>
            </w:r>
          </w:p>
        </w:tc>
        <w:tc>
          <w:tcPr>
            <w:tcW w:type="dxa" w:w="2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left"/>
            </w:pPr>
            <w:r>
              <w:rPr>
                <w:rFonts w:ascii="Times New Roman" w:cs="Times New Roman" w:eastAsia="Times New Roman" w:hAnsi="Times New Roman"/>
                <w:b w:val="false"/>
                <w:bCs w:val="false"/>
                <w:sz w:val="19"/>
                <w:szCs w:val="19"/>
              </w:rPr>
              <w:t xml:space="preserve">Logistic regression</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60.6</w:t>
            </w:r>
          </w:p>
        </w:tc>
        <w:tc>
          <w:tcPr>
            <w:tcW w:type="dxa" w:w="10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0.62</w:t>
            </w:r>
          </w:p>
        </w:tc>
        <w:tc>
          <w:tcPr>
            <w:tcW w:type="dxa" w:w="900"/>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0.62</w:t>
            </w:r>
          </w:p>
        </w:tc>
        <w:tc>
          <w:tcPr>
            <w:tcW w:type="dxa" w:w="1176"/>
            <w:tcBorders>
              <w:top w:val="single" w:color="000000" w:sz="4"/>
              <w:left w:val="single" w:color="000000" w:sz="4"/>
              <w:bottom w:val="single" w:color="000000" w:sz="4"/>
              <w:right w:val="single" w:color="000000" w:sz="4"/>
            </w:tcBorders>
            <w:tcMar>
              <w:top w:type="dxa" w:w="30"/>
              <w:left w:type="dxa" w:w="70"/>
              <w:bottom w:type="dxa" w:w="30"/>
              <w:right w:type="dxa" w:w="70"/>
            </w:tcMar>
            <w:vAlign w:val="top"/>
          </w:tcPr>
          <w:p>
            <w:pPr>
              <w:spacing w:after="0" w:line="228"/>
              <w:jc w:val="right"/>
            </w:pPr>
            <w:r>
              <w:rPr>
                <w:rFonts w:ascii="Times New Roman" w:cs="Times New Roman" w:eastAsia="Times New Roman" w:hAnsi="Times New Roman"/>
                <w:b w:val="false"/>
                <w:bCs w:val="false"/>
                <w:sz w:val="19"/>
                <w:szCs w:val="19"/>
              </w:rPr>
              <w:t xml:space="preserve">0.66</w:t>
            </w:r>
          </w:p>
        </w:tc>
      </w:tr>
    </w:tbl>
    <w:p>
      <w:pPr>
        <w:spacing w:after="100" w:before="40" w:line="252"/>
        <w:jc w:val="center"/>
      </w:pPr>
      <w:r>
        <w:rPr>
          <w:rFonts w:ascii="Times New Roman" w:cs="Times New Roman" w:eastAsia="Times New Roman" w:hAnsi="Times New Roman"/>
          <w:sz w:val="19"/>
          <w:szCs w:val="19"/>
        </w:rPr>
        <w:t xml:space="preserve">Table 4. Test-season results (2023-24, 142 matches); accuracy in %.</w:t>
      </w:r>
    </w:p>
    <w:p>
      <w:pPr>
        <w:keepNext/>
        <w:spacing w:after="40" w:before="60"/>
        <w:jc w:val="center"/>
      </w:pPr>
      <w:r>
        <w:drawing>
          <wp:inline distT="0" distB="0" distL="0" distR="0">
            <wp:extent cx="4667250" cy="2057400"/>
            <wp:effectExtent t="0" r="0" b="0" l="0"/>
            <wp:docPr id="1" name="roc_test.png" descr="ROC curve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057400"/>
                    </a:xfrm>
                    <a:prstGeom prst="rect">
                      <a:avLst/>
                    </a:prstGeom>
                  </pic:spPr>
                </pic:pic>
              </a:graphicData>
            </a:graphic>
          </wp:inline>
        </w:drawing>
      </w:r>
    </w:p>
    <w:p>
      <w:pPr>
        <w:spacing w:after="140"/>
        <w:jc w:val="center"/>
      </w:pPr>
      <w:r>
        <w:rPr>
          <w:rFonts w:ascii="Times New Roman" w:cs="Times New Roman" w:eastAsia="Times New Roman" w:hAnsi="Times New Roman"/>
          <w:sz w:val="19"/>
          <w:szCs w:val="19"/>
        </w:rPr>
        <w:t xml:space="preserve">Figure 4. ROC curves on the test seasons for Model A (left) and Model B (right).</w:t>
      </w:r>
    </w:p>
    <w:p>
      <w:pPr>
        <w:spacing w:after="100" w:before="0" w:line="252"/>
        <w:jc w:val="both"/>
      </w:pPr>
      <w:r>
        <w:rPr>
          <w:rFonts w:ascii="Times New Roman" w:cs="Times New Roman" w:eastAsia="Times New Roman" w:hAnsi="Times New Roman"/>
          <w:b/>
          <w:bCs/>
          <w:sz w:val="22"/>
          <w:szCs w:val="22"/>
        </w:rPr>
        <w:t xml:space="preserve">Results.</w:t>
      </w:r>
      <w:r>
        <w:rPr>
          <w:rFonts w:ascii="Times New Roman" w:cs="Times New Roman" w:eastAsia="Times New Roman" w:hAnsi="Times New Roman"/>
          <w:sz w:val="22"/>
          <w:szCs w:val="22"/>
        </w:rPr>
        <w:t xml:space="preserve"> Model A is weak: the best model (logistic regression, 60.6% accuracy, AUC 0.66) does no better than the rule "batting first wins if its Powerplay run rate is above the training median" (59.2%, AUC 0.67). Model B is clearly better (logistic regression 68.3% accuracy, F1 0.68, AUC 0.73; random forest AUC 0.75) and far above the majority baseline (47.9%), but only 1.4 points above the one-line rule (66.9%, AUC 0.73). Most of the signal is a single subtraction.</w:t>
      </w:r>
    </w:p>
    <w:p>
      <w:pPr>
        <w:spacing w:after="100" w:before="0" w:line="252"/>
        <w:jc w:val="both"/>
      </w:pPr>
      <w:r>
        <w:rPr>
          <w:rFonts w:ascii="Times New Roman" w:cs="Times New Roman" w:eastAsia="Times New Roman" w:hAnsi="Times New Roman"/>
          <w:b/>
          <w:bCs/>
          <w:sz w:val="22"/>
          <w:szCs w:val="22"/>
        </w:rPr>
        <w:t xml:space="preserve">What drives it.</w:t>
      </w:r>
      <w:r>
        <w:rPr>
          <w:rFonts w:ascii="Times New Roman" w:cs="Times New Roman" w:eastAsia="Times New Roman" w:hAnsi="Times New Roman"/>
          <w:sz w:val="22"/>
          <w:szCs w:val="22"/>
        </w:rPr>
        <w:t xml:space="preserve"> The most useful feature in every Model B is the chasing side's Powerplay </w:t>
      </w:r>
      <w:r>
        <w:rPr>
          <w:rFonts w:ascii="Times New Roman" w:cs="Times New Roman" w:eastAsia="Times New Roman" w:hAnsi="Times New Roman"/>
          <w:b/>
          <w:bCs/>
          <w:sz w:val="22"/>
          <w:szCs w:val="22"/>
        </w:rPr>
        <w:t xml:space="preserve">wickets</w:t>
      </w:r>
      <w:r>
        <w:rPr>
          <w:rFonts w:ascii="Times New Roman" w:cs="Times New Roman" w:eastAsia="Times New Roman" w:hAnsi="Times New Roman"/>
          <w:sz w:val="22"/>
          <w:szCs w:val="22"/>
        </w:rPr>
        <w:t xml:space="preserve">, not a run rate: it is the decision tree's first split, the largest logistic-regression coefficient and 23% of the forest's importance. In the seasons the final models were fitted on, chasers who lost at most one Powerplay wicket won 70.7% of matches, and those who lost two or more won 36.1%. Previous-season form and venue history added almost nothing.</w:t>
      </w:r>
    </w:p>
    <w:p>
      <w:pPr>
        <w:spacing w:after="100" w:before="0" w:line="252"/>
        <w:jc w:val="both"/>
      </w:pPr>
      <w:r>
        <w:rPr>
          <w:rFonts w:ascii="Times New Roman" w:cs="Times New Roman" w:eastAsia="Times New Roman" w:hAnsi="Times New Roman"/>
          <w:b/>
          <w:bCs/>
          <w:sz w:val="22"/>
          <w:szCs w:val="22"/>
        </w:rPr>
        <w:t xml:space="preserve">Where it underperforms.</w:t>
      </w:r>
      <w:r>
        <w:rPr>
          <w:rFonts w:ascii="Times New Roman" w:cs="Times New Roman" w:eastAsia="Times New Roman" w:hAnsi="Times New Roman"/>
          <w:sz w:val="22"/>
          <w:szCs w:val="22"/>
        </w:rPr>
        <w:t xml:space="preserve"> Recall for batting-first wins is 0.64 (27 of 74 missed), 2023 was harder than 2024 (66.2% against 70.4%), and the logistic model made 18 confident (70%+) wrong calls. The base rate also moved: batting first won 44.7% of training matches but 52.1% of test matches, which is why the majority baseline scores below 50%. With 142 test matches one match is 0.7 points of accuracy, so the gap between the best models and the rule is within noise.</w:t>
      </w:r>
    </w:p>
    <w:p>
      <w:pPr>
        <w:keepNext/>
        <w:spacing w:after="80" w:before="200"/>
        <w:jc w:val="left"/>
        <w:outlineLvl w:val="0"/>
      </w:pPr>
      <w:r>
        <w:rPr>
          <w:rFonts w:ascii="Times New Roman" w:cs="Times New Roman" w:eastAsia="Times New Roman" w:hAnsi="Times New Roman"/>
          <w:b/>
          <w:bCs/>
          <w:sz w:val="26"/>
          <w:szCs w:val="26"/>
        </w:rPr>
        <w:t xml:space="preserve">6. Dashboard walkthrough</w:t>
      </w:r>
    </w:p>
    <w:p>
      <w:pPr>
        <w:spacing w:after="100" w:before="0" w:line="252"/>
        <w:jc w:val="both"/>
      </w:pPr>
      <w:r>
        <w:rPr>
          <w:rFonts w:ascii="Times New Roman" w:cs="Times New Roman" w:eastAsia="Times New Roman" w:hAnsi="Times New Roman"/>
          <w:sz w:val="22"/>
          <w:szCs w:val="22"/>
        </w:rPr>
        <w:t xml:space="preserve">The Power BI dashboard reads one workbook exported from the warehouse, including the models' test-season predictions, and has three pages (Figure 5). Each page has a title, a plain-language note and slicers, so a non-technical reader can follow the story.</w:t>
      </w:r>
    </w:p>
    <w:p>
      <w:pPr>
        <w:pStyle w:val="ListParagraph"/>
        <w:numPr>
          <w:ilvl w:val="0"/>
          <w:numId w:val="2"/>
        </w:numPr>
        <w:spacing w:after="40" w:line="252"/>
        <w:jc w:val="left"/>
      </w:pPr>
      <w:r>
        <w:rPr>
          <w:rFonts w:ascii="Times New Roman" w:cs="Times New Roman" w:eastAsia="Times New Roman" w:hAnsi="Times New Roman"/>
          <w:b/>
          <w:bCs/>
          <w:sz w:val="22"/>
          <w:szCs w:val="22"/>
        </w:rPr>
        <w:t xml:space="preserve">Overview: how the IPL changed.</w:t>
      </w:r>
      <w:r>
        <w:rPr>
          <w:rFonts w:ascii="Times New Roman" w:cs="Times New Roman" w:eastAsia="Times New Roman" w:hAnsi="Times New Roman"/>
          <w:sz w:val="22"/>
          <w:szCs w:val="22"/>
        </w:rPr>
        <w:t xml:space="preserve"> Season, country and venue slicers; cards for matches, average first-innings score, the latest Powerplay run rate and its change, and the toss winner's win rate; a run-rate-by-phase line chart with the Impact Player era marked; toss decision against win rate; and the highest-scoring grounds.</w:t>
      </w:r>
    </w:p>
    <w:p>
      <w:pPr>
        <w:pStyle w:val="ListParagraph"/>
        <w:numPr>
          <w:ilvl w:val="0"/>
          <w:numId w:val="2"/>
        </w:numPr>
        <w:spacing w:after="40" w:line="252"/>
        <w:jc w:val="left"/>
      </w:pPr>
      <w:r>
        <w:rPr>
          <w:rFonts w:ascii="Times New Roman" w:cs="Times New Roman" w:eastAsia="Times New Roman" w:hAnsi="Times New Roman"/>
          <w:b/>
          <w:bCs/>
          <w:sz w:val="22"/>
          <w:szCs w:val="22"/>
        </w:rPr>
        <w:t xml:space="preserve">Teams and players (detail and drill-down).</w:t>
      </w:r>
      <w:r>
        <w:rPr>
          <w:rFonts w:ascii="Times New Roman" w:cs="Times New Roman" w:eastAsia="Times New Roman" w:hAnsi="Times New Roman"/>
          <w:sz w:val="22"/>
          <w:szCs w:val="22"/>
        </w:rPr>
        <w:t xml:space="preserve"> A franchise-by-season run-rate heatmap whose rows drill down from franchise to phase; a player slicer driving a phase-index chart and the SCD Type 2 spells table; and a from/to matrix of every phase change.</w:t>
      </w:r>
    </w:p>
    <w:p>
      <w:pPr>
        <w:pStyle w:val="ListParagraph"/>
        <w:numPr>
          <w:ilvl w:val="0"/>
          <w:numId w:val="2"/>
        </w:numPr>
        <w:spacing w:after="80" w:line="252"/>
        <w:jc w:val="left"/>
      </w:pPr>
      <w:r>
        <w:rPr>
          <w:rFonts w:ascii="Times New Roman" w:cs="Times New Roman" w:eastAsia="Times New Roman" w:hAnsi="Times New Roman"/>
          <w:b/>
          <w:bCs/>
          <w:sz w:val="22"/>
          <w:szCs w:val="22"/>
        </w:rPr>
        <w:t xml:space="preserve">Model insights.</w:t>
      </w:r>
      <w:r>
        <w:rPr>
          <w:rFonts w:ascii="Times New Roman" w:cs="Times New Roman" w:eastAsia="Times New Roman" w:hAnsi="Times New Roman"/>
          <w:sz w:val="22"/>
          <w:szCs w:val="22"/>
        </w:rPr>
        <w:t xml:space="preserve"> Prediction-point and model slicers; accuracy, ROC-AUC and the rule baseline as cards; a model comparison; the predicted-versus-actual matrix; predicted probability against the Powerplay difference, coloured by correct and wrong; feature importance; and the list of confident wrong predictions.</w:t>
      </w:r>
    </w:p>
    <w:p>
      <w:pPr>
        <w:keepNext/>
        <w:spacing w:after="40" w:before="60"/>
        <w:jc w:val="center"/>
      </w:pPr>
      <w:r>
        <w:drawing>
          <wp:inline distT="0" distB="0" distL="0" distR="0">
            <wp:extent cx="5734050" cy="1057275"/>
            <wp:effectExtent t="0" r="0" b="0" l="0"/>
            <wp:docPr id="1" name="dashboard_strip.png" descr="Dashboard pages" title="Dashboard 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34050" cy="1057275"/>
                    </a:xfrm>
                    <a:prstGeom prst="rect">
                      <a:avLst/>
                    </a:prstGeom>
                  </pic:spPr>
                </pic:pic>
              </a:graphicData>
            </a:graphic>
          </wp:inline>
        </w:drawing>
      </w:r>
    </w:p>
    <w:p>
      <w:pPr>
        <w:spacing w:after="140"/>
        <w:jc w:val="center"/>
      </w:pPr>
      <w:r>
        <w:rPr>
          <w:rFonts w:ascii="Times New Roman" w:cs="Times New Roman" w:eastAsia="Times New Roman" w:hAnsi="Times New Roman"/>
          <w:sz w:val="19"/>
          <w:szCs w:val="19"/>
        </w:rPr>
        <w:t xml:space="preserve">Figure 5. Dashboard pages: overview, teams and players, model insights.</w:t>
      </w:r>
    </w:p>
    <w:p>
      <w:pPr>
        <w:keepNext/>
        <w:spacing w:after="80" w:before="200"/>
        <w:jc w:val="left"/>
        <w:outlineLvl w:val="0"/>
      </w:pPr>
      <w:r>
        <w:rPr>
          <w:rFonts w:ascii="Times New Roman" w:cs="Times New Roman" w:eastAsia="Times New Roman" w:hAnsi="Times New Roman"/>
          <w:b/>
          <w:bCs/>
          <w:sz w:val="26"/>
          <w:szCs w:val="26"/>
        </w:rPr>
        <w:t xml:space="preserve">7. Limitations</w:t>
      </w:r>
    </w:p>
    <w:p>
      <w:pPr>
        <w:pStyle w:val="ListParagraph"/>
        <w:numPr>
          <w:ilvl w:val="0"/>
          <w:numId w:val="2"/>
        </w:numPr>
        <w:spacing w:after="40" w:line="252"/>
        <w:jc w:val="left"/>
      </w:pPr>
      <w:r>
        <w:rPr>
          <w:rFonts w:ascii="Times New Roman" w:cs="Times New Roman" w:eastAsia="Times New Roman" w:hAnsi="Times New Roman"/>
          <w:b/>
          <w:bCs/>
          <w:sz w:val="22"/>
          <w:szCs w:val="22"/>
        </w:rPr>
        <w:t xml:space="preserve">What the data cannot tell us.</w:t>
      </w:r>
      <w:r>
        <w:rPr>
          <w:rFonts w:ascii="Times New Roman" w:cs="Times New Roman" w:eastAsia="Times New Roman" w:hAnsi="Times New Roman"/>
          <w:sz w:val="22"/>
          <w:szCs w:val="22"/>
        </w:rPr>
        <w:t xml:space="preserve"> There is no ball-tracking, pitch, weather or batting-order data and no record of Impact Player substitutions, so we can describe when players bat or bowl but not why their roles change, and we cannot separate the rule change from other changes in 2023-24.</w:t>
      </w:r>
    </w:p>
    <w:p>
      <w:pPr>
        <w:pStyle w:val="ListParagraph"/>
        <w:numPr>
          <w:ilvl w:val="0"/>
          <w:numId w:val="2"/>
        </w:numPr>
        <w:spacing w:after="40" w:line="252"/>
        <w:jc w:val="left"/>
      </w:pPr>
      <w:r>
        <w:rPr>
          <w:rFonts w:ascii="Times New Roman" w:cs="Times New Roman" w:eastAsia="Times New Roman" w:hAnsi="Times New Roman"/>
          <w:b/>
          <w:bCs/>
          <w:sz w:val="22"/>
          <w:szCs w:val="22"/>
        </w:rPr>
        <w:t xml:space="preserve">Phase is a proxy for role.</w:t>
      </w:r>
      <w:r>
        <w:rPr>
          <w:rFonts w:ascii="Times New Roman" w:cs="Times New Roman" w:eastAsia="Times New Roman" w:hAnsi="Times New Roman"/>
          <w:sz w:val="22"/>
          <w:szCs w:val="22"/>
        </w:rPr>
        <w:t xml:space="preserve"> A batter's phase share depends on how long the batters above him last; the index removes the league-wide effect, not the team effect.</w:t>
      </w:r>
    </w:p>
    <w:p>
      <w:pPr>
        <w:pStyle w:val="ListParagraph"/>
        <w:numPr>
          <w:ilvl w:val="0"/>
          <w:numId w:val="2"/>
        </w:numPr>
        <w:spacing w:after="40" w:line="252"/>
        <w:jc w:val="left"/>
      </w:pPr>
      <w:r>
        <w:rPr>
          <w:rFonts w:ascii="Times New Roman" w:cs="Times New Roman" w:eastAsia="Times New Roman" w:hAnsi="Times New Roman"/>
          <w:b/>
          <w:bCs/>
          <w:sz w:val="22"/>
          <w:szCs w:val="22"/>
        </w:rPr>
        <w:t xml:space="preserve">Thresholds are choices.</w:t>
      </w:r>
      <w:r>
        <w:rPr>
          <w:rFonts w:ascii="Times New Roman" w:cs="Times New Roman" w:eastAsia="Times New Roman" w:hAnsi="Times New Roman"/>
          <w:sz w:val="22"/>
          <w:szCs w:val="22"/>
        </w:rPr>
        <w:t xml:space="preserve"> The 60-ball rule decides who counts. Doubling it changes the headline shares by only a few points, but individual players can flip.</w:t>
      </w:r>
    </w:p>
    <w:p>
      <w:pPr>
        <w:pStyle w:val="ListParagraph"/>
        <w:numPr>
          <w:ilvl w:val="0"/>
          <w:numId w:val="2"/>
        </w:numPr>
        <w:spacing w:after="40" w:line="252"/>
        <w:jc w:val="left"/>
      </w:pPr>
      <w:r>
        <w:rPr>
          <w:rFonts w:ascii="Times New Roman" w:cs="Times New Roman" w:eastAsia="Times New Roman" w:hAnsi="Times New Roman"/>
          <w:b/>
          <w:bCs/>
          <w:sz w:val="22"/>
          <w:szCs w:val="22"/>
        </w:rPr>
        <w:t xml:space="preserve">Wrangling decisions that could bias results.</w:t>
      </w:r>
      <w:r>
        <w:rPr>
          <w:rFonts w:ascii="Times New Roman" w:cs="Times New Roman" w:eastAsia="Times New Roman" w:hAnsi="Times New Roman"/>
          <w:sz w:val="22"/>
          <w:szCs w:val="22"/>
        </w:rPr>
        <w:t xml:space="preserve"> Renamed grounds are merged (this assumes the pitch did not change with the name), franchise history is kept across renames (assumes continuity), seven-ball overs are kept, and 40 non-standard matches are left out of the models, which slightly favours normal games.</w:t>
      </w:r>
    </w:p>
    <w:p>
      <w:pPr>
        <w:pStyle w:val="ListParagraph"/>
        <w:numPr>
          <w:ilvl w:val="0"/>
          <w:numId w:val="2"/>
        </w:numPr>
        <w:spacing w:after="100" w:line="252"/>
        <w:jc w:val="left"/>
      </w:pPr>
      <w:r>
        <w:rPr>
          <w:rFonts w:ascii="Times New Roman" w:cs="Times New Roman" w:eastAsia="Times New Roman" w:hAnsi="Times New Roman"/>
          <w:b/>
          <w:bCs/>
          <w:sz w:val="22"/>
          <w:szCs w:val="22"/>
        </w:rPr>
        <w:t xml:space="preserve">Small, shifting test set, and association only.</w:t>
      </w:r>
      <w:r>
        <w:rPr>
          <w:rFonts w:ascii="Times New Roman" w:cs="Times New Roman" w:eastAsia="Times New Roman" w:hAnsi="Times New Roman"/>
          <w:sz w:val="22"/>
          <w:szCs w:val="22"/>
        </w:rPr>
        <w:t xml:space="preserve"> The game changed between training and test seasons, and the toss and Powerplay findings are correlations in observational data, not causes.</w:t>
      </w:r>
    </w:p>
    <w:p>
      <w:pPr>
        <w:keepNext/>
        <w:spacing w:after="80" w:before="200"/>
        <w:jc w:val="left"/>
        <w:outlineLvl w:val="0"/>
      </w:pPr>
      <w:r>
        <w:rPr>
          <w:rFonts w:ascii="Times New Roman" w:cs="Times New Roman" w:eastAsia="Times New Roman" w:hAnsi="Times New Roman"/>
          <w:b/>
          <w:bCs/>
          <w:sz w:val="26"/>
          <w:szCs w:val="26"/>
        </w:rPr>
        <w:t xml:space="preserve">8. Conclusion</w:t>
      </w:r>
    </w:p>
    <w:p>
      <w:pPr>
        <w:spacing w:after="100" w:before="0" w:line="252"/>
        <w:jc w:val="both"/>
      </w:pPr>
      <w:r>
        <w:rPr>
          <w:rFonts w:ascii="Times New Roman" w:cs="Times New Roman" w:eastAsia="Times New Roman" w:hAnsi="Times New Roman"/>
          <w:sz w:val="22"/>
          <w:szCs w:val="22"/>
        </w:rPr>
        <w:t xml:space="preserve">Most of the work, and most of the value, was in the wrangling: resolving 19 team strings and 58 venue strings, fixing the season and over conventions, defining legal balls and phases, and building a validated star schema with SCD Type 2 history. With that in place the answers are clear. A player's primary phase is usually not stable across seasons. The Powerplay has changed more than any other phase since the Impact Player rule. And the two Powerplays predict the winner about two times in three, but a one-line rule captures almost all of that, and Powerplay wickets in the chase matter more than Powerplay runs.</w:t>
      </w:r>
    </w:p>
    <w:p>
      <w:pPr>
        <w:keepNext/>
        <w:spacing w:after="80" w:before="200"/>
        <w:jc w:val="left"/>
        <w:outlineLvl w:val="0"/>
      </w:pPr>
      <w:r>
        <w:rPr>
          <w:rFonts w:ascii="Times New Roman" w:cs="Times New Roman" w:eastAsia="Times New Roman" w:hAnsi="Times New Roman"/>
          <w:b/>
          <w:bCs/>
          <w:sz w:val="26"/>
          <w:szCs w:val="26"/>
        </w:rPr>
        <w:t xml:space="preserve">References</w:t>
      </w:r>
    </w:p>
    <w:p>
      <w:pPr>
        <w:spacing w:after="40" w:before="0" w:line="252"/>
        <w:jc w:val="left"/>
      </w:pPr>
      <w:r>
        <w:rPr>
          <w:rFonts w:ascii="Times New Roman" w:cs="Times New Roman" w:eastAsia="Times New Roman" w:hAnsi="Times New Roman"/>
          <w:sz w:val="22"/>
          <w:szCs w:val="22"/>
        </w:rPr>
        <w:t xml:space="preserve">Bhardwaj, P. (2024). </w:t>
      </w:r>
      <w:r>
        <w:rPr>
          <w:rFonts w:ascii="Times New Roman" w:cs="Times New Roman" w:eastAsia="Times New Roman" w:hAnsi="Times New Roman"/>
          <w:i/>
          <w:iCs/>
          <w:sz w:val="22"/>
          <w:szCs w:val="22"/>
        </w:rPr>
        <w:t xml:space="preserve">IPL Complete Dataset (2008-2024)</w:t>
      </w:r>
      <w:r>
        <w:rPr>
          <w:rFonts w:ascii="Times New Roman" w:cs="Times New Roman" w:eastAsia="Times New Roman" w:hAnsi="Times New Roman"/>
          <w:sz w:val="22"/>
          <w:szCs w:val="22"/>
        </w:rPr>
        <w:t xml:space="preserve">, version 3 [dataset]. Kaggle. https://www.kaggle.com/datasets/patrickb1912/ipl-complete-dataset-20082020</w:t>
      </w:r>
    </w:p>
    <w:p>
      <w:pPr>
        <w:spacing w:after="40" w:before="0" w:line="252"/>
        <w:jc w:val="left"/>
      </w:pPr>
      <w:r>
        <w:rPr>
          <w:rFonts w:ascii="Times New Roman" w:cs="Times New Roman" w:eastAsia="Times New Roman" w:hAnsi="Times New Roman"/>
          <w:sz w:val="22"/>
          <w:szCs w:val="22"/>
        </w:rPr>
        <w:t xml:space="preserve">Cricsheet. Ball-by-ball match data. https://cricsheet.org (Open Data Commons Attribution License).</w:t>
      </w:r>
    </w:p>
    <w:p>
      <w:pPr>
        <w:spacing w:after="40" w:before="0" w:line="252"/>
        <w:jc w:val="left"/>
      </w:pPr>
      <w:r>
        <w:rPr>
          <w:rFonts w:ascii="Times New Roman" w:cs="Times New Roman" w:eastAsia="Times New Roman" w:hAnsi="Times New Roman"/>
          <w:sz w:val="22"/>
          <w:szCs w:val="22"/>
        </w:rPr>
        <w:t xml:space="preserve">Kimball, R. and Ross, M. (2013). </w:t>
      </w:r>
      <w:r>
        <w:rPr>
          <w:rFonts w:ascii="Times New Roman" w:cs="Times New Roman" w:eastAsia="Times New Roman" w:hAnsi="Times New Roman"/>
          <w:i/>
          <w:iCs/>
          <w:sz w:val="22"/>
          <w:szCs w:val="22"/>
        </w:rPr>
        <w:t xml:space="preserve">The Data Warehouse Toolkit</w:t>
      </w:r>
      <w:r>
        <w:rPr>
          <w:rFonts w:ascii="Times New Roman" w:cs="Times New Roman" w:eastAsia="Times New Roman" w:hAnsi="Times New Roman"/>
          <w:sz w:val="22"/>
          <w:szCs w:val="22"/>
        </w:rPr>
        <w:t xml:space="preserve">, 3rd ed. Wiley.</w:t>
      </w:r>
    </w:p>
    <w:p>
      <w:pPr>
        <w:spacing w:after="40" w:before="0" w:line="252"/>
        <w:jc w:val="left"/>
      </w:pPr>
      <w:r>
        <w:rPr>
          <w:rFonts w:ascii="Times New Roman" w:cs="Times New Roman" w:eastAsia="Times New Roman" w:hAnsi="Times New Roman"/>
          <w:sz w:val="22"/>
          <w:szCs w:val="22"/>
        </w:rPr>
        <w:t xml:space="preserve">Pedregosa, F. et al. (2011). Scikit-learn: Machine learning in Python. </w:t>
      </w:r>
      <w:r>
        <w:rPr>
          <w:rFonts w:ascii="Times New Roman" w:cs="Times New Roman" w:eastAsia="Times New Roman" w:hAnsi="Times New Roman"/>
          <w:i/>
          <w:iCs/>
          <w:sz w:val="22"/>
          <w:szCs w:val="22"/>
        </w:rPr>
        <w:t xml:space="preserve">Journal of Machine Learning Research</w:t>
      </w:r>
      <w:r>
        <w:rPr>
          <w:rFonts w:ascii="Times New Roman" w:cs="Times New Roman" w:eastAsia="Times New Roman" w:hAnsi="Times New Roman"/>
          <w:sz w:val="22"/>
          <w:szCs w:val="22"/>
        </w:rPr>
        <w:t xml:space="preserve">, 12, 2825-2830.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c485370acd7247667881cc609a391be1096a9fa.png"/><Relationship Id="rId9" Type="http://schemas.openxmlformats.org/officeDocument/2006/relationships/image" Target="media/ae5d9854e58a9290862f8014c43787df5e2c62a3.png"/><Relationship Id="rId10" Type="http://schemas.openxmlformats.org/officeDocument/2006/relationships/image" Target="media/4d60154658035b3fd8a78f6975a9138653f254c2.png"/><Relationship Id="rId11" Type="http://schemas.openxmlformats.org/officeDocument/2006/relationships/image" Target="media/0a6518ee9a93b24d2ed0994b9a5e80fa9bc445ee.png"/><Relationship Id="rId12" Type="http://schemas.openxmlformats.org/officeDocument/2006/relationships/image" Target="media/9123c5aa9d76102810802d208bde30dbb3080f7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IPL Phase-Performance and Style-Drift Data Warehouse: Project Report</dc:title>
  <dc:creator>Data Wrangling Group</dc:creator>
  <cp:lastModifiedBy>Un-named</cp:lastModifiedBy>
  <cp:revision>1</cp:revision>
  <dcterms:created xsi:type="dcterms:W3CDTF">2026-10-18T15:46:46.515Z</dcterms:created>
  <dcterms:modified xsi:type="dcterms:W3CDTF">2026-10-18T15:46:46.515Z</dcterms:modified>
</cp:coreProperties>
</file>

<file path=docProps/custom.xml><?xml version="1.0" encoding="utf-8"?>
<Properties xmlns="http://schemas.openxmlformats.org/officeDocument/2006/custom-properties" xmlns:vt="http://schemas.openxmlformats.org/officeDocument/2006/docPropsVTypes"/>
</file>