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A44"/>
          <w:sz w:val="44"/>
          <w:szCs w:val="44"/>
        </w:rPr>
        <w:t xml:space="preserve">LeaseReel™ Compliance Data Reference</w:t>
      </w:r>
    </w:p>
    <w:p>
      <w:pPr>
        <w:spacing w:after="40"/>
      </w:pPr>
      <w:r>
        <w:rPr>
          <w:color w:val="3A5A78"/>
          <w:sz w:val="26"/>
          <w:szCs w:val="26"/>
        </w:rPr>
        <w:t xml:space="preserve">Complete Fair Housing Rule Library &amp; State Jurisdiction Reference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Prepared by Sanjeev Varma  ·  July 26, 2026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This is the complete underlying data behind the LeaseReel compliance engine — every phrase-matching rule and every state/jurisdiction fact the engine screens against, in full. It's a standalone leave-behind so this data can be shown on screen or handed out directly, without needing to open source files or directories live during the meeting.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The engine itself (src/complianceEngine.js) is separate code that applies these rules with longest-match resolution, context handling (e.g. a phrase can act as a hard-block trigger only when followed by a specific person-type construction), and per-property jurisdiction gating. This document is the data, not the logic — see the prototype briefing for how the engine behaves.</w:t>
      </w:r>
    </w:p>
    <w:p>
      <w:pPr>
        <w:pStyle w:val="Heading1"/>
        <w:spacing w:after="140" w:before="400"/>
      </w:pPr>
      <w: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468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Total rules in library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96</w:t>
            </w:r>
          </w:p>
        </w:tc>
      </w:tr>
      <w:tr>
        <w:tc>
          <w:tcPr>
            <w:tcW w:type="dxa" w:w="468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Rule set version / last updated</w:t>
            </w:r>
          </w:p>
        </w:tc>
        <w:tc>
          <w:tcPr>
            <w:tcW w:type="dxa" w:w="468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2026.07.20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Violation tier (hard block, -40 + forces Blocked)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60</w:t>
            </w:r>
          </w:p>
        </w:tc>
      </w:tr>
      <w:tr>
        <w:tc>
          <w:tcPr>
            <w:tcW w:type="dxa" w:w="468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Caution tier (-12, does not force Blocked)</w:t>
            </w:r>
          </w:p>
        </w:tc>
        <w:tc>
          <w:tcPr>
            <w:tcW w:type="dxa" w:w="468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23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Acceptable tier (clears; safe-harbor phrases +5, capped at 100)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468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Federal-scope rules (apply in every jurisdiction)</w:t>
            </w:r>
          </w:p>
        </w:tc>
        <w:tc>
          <w:tcPr>
            <w:tcW w:type="dxa" w:w="468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65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 rules (gated by property state/city)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22</w:t>
            </w:r>
          </w:p>
        </w:tc>
      </w:tr>
      <w:tr>
        <w:tc>
          <w:tcPr>
            <w:tcW w:type="dxa" w:w="468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Property-feature rules (always acceptable)</w:t>
            </w:r>
          </w:p>
        </w:tc>
        <w:tc>
          <w:tcPr>
            <w:tcW w:type="dxa" w:w="468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Safe-harbor rules (EHO signal)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468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 protected classes covered</w:t>
            </w:r>
          </w:p>
        </w:tc>
        <w:tc>
          <w:tcPr>
            <w:tcW w:type="dxa" w:w="468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 (race, color, religion, sex, disability, familial status, national origin)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 classes covered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(source of income, sexual orientation, gender identity, marital status, age, military/veteran status)</w:t>
            </w:r>
          </w:p>
        </w:tc>
      </w:tr>
      <w:tr>
        <w:tc>
          <w:tcPr>
            <w:tcW w:type="dxa" w:w="468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Jurisdiction reference last reviewed</w:t>
            </w:r>
          </w:p>
        </w:tc>
        <w:tc>
          <w:tcPr>
            <w:tcW w:type="dxa" w:w="468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2026-07-20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t xml:space="preserve">Part 1 — Fair Housing Rule Library</w:t>
      </w:r>
    </w:p>
    <w:p>
      <w:pPr>
        <w:spacing w:after="160"/>
      </w:pPr>
      <w:r>
        <w:rPr>
          <w:i/>
          <w:iCs/>
          <w:sz w:val="19"/>
          <w:szCs w:val="19"/>
        </w:rPr>
        <w:t xml:space="preserve">Source: src/data/compliance-rules.json, version 2026.07.20. LeaseReel starter fair-housing compliance rules. Editable seed data for the standalone compliance engine.</w:t>
      </w:r>
    </w:p>
    <w:p>
      <w:pPr>
        <w:spacing w:after="160"/>
      </w:pPr>
      <w:r>
        <w:rPr>
          <w:i w:val="false"/>
          <w:iCs w:val="false"/>
          <w:sz w:val="20"/>
          <w:szCs w:val="20"/>
        </w:rPr>
        <w:t xml:space="preserve">Three tiers: Violation (hard block — the ad cannot publish regardless of overall score), Caution (flagged and score-reduced but does not block on its own), and Acceptable (clears, including phrases the engine deliberately protects from over-flagging). Scope marks whether a rule applies everywhere (federal) or only where a property's state/city protects that class (state-dependent), plus property-feature and safe-harbor rules that always clear or add points.</w:t>
      </w:r>
    </w:p>
    <w:p>
      <w:pPr>
        <w:pStyle w:val="Heading2"/>
        <w:spacing w:after="100" w:before="320"/>
      </w:pPr>
      <w:r>
        <w:t xml:space="preserve">Familial Status</w:t>
      </w:r>
    </w:p>
    <w:p>
      <w:pPr>
        <w:spacing w:after="180"/>
      </w:pPr>
      <w:r>
        <w:rPr>
          <w:i/>
          <w:iCs/>
          <w:color w:val="555555"/>
          <w:sz w:val="18"/>
          <w:szCs w:val="18"/>
        </w:rPr>
        <w:t xml:space="preserve">Federal class. Includes the HOPA (Housing for Older Persons Act) senior-housing phrases, which are hard violations on a standard property but become an exempt, HOPA-preferred signal only on a verified 55+/HOPA-qualified property. (17 rules · 17 violation)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"/>
        <w:gridCol w:w="1250"/>
        <w:gridCol w:w="1550"/>
        <w:gridCol w:w="2260"/>
        <w:gridCol w:w="19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Phrase</w:t>
            </w:r>
          </w:p>
        </w:tc>
        <w:tc>
          <w:tcPr>
            <w:tcW w:type="dxa" w:w="8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2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5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Protected Class(es)</w:t>
            </w:r>
          </w:p>
        </w:tc>
        <w:tc>
          <w:tcPr>
            <w:tcW w:type="dxa" w:w="226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9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Suggested Rewrite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children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 (HOPA-caution)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families with children, a protected class under the Fair Housing Act.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the unit's features instead, such as bedroom count, layout, or location. Do not reference who may live there.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kids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 (HOPA-caution)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families with children, a protected class under the Fair Housing Act.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the unit's features instead, such as bedroom count, layout, or location. Do not reference who may live there.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adults only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 (HOPA-caution)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Signals a preference against households with children.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property rules, amenities, or floor plan details without stating a preferred occupant type.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adult community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 (HOPA-caution)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Suggests a preference for adults and against families with children.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Use neutral property descriptors such as community amenities, services, or location.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mature adults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 (HOPA-caution)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States a preference for an adult household rather than describing the property.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objective features, lease terms, or amenities without referencing age or household makeup.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empty nesters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 (HOPA-caution)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Targets households without children, which implies a familial-status preference.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the floor plan, storage, amenities, or location without describing the intended resident.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perfect for singles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States a preferred household type instead of describing the unit.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Replace with objective features, such as 'studio layout with efficient storage and downtown access.'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couples only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Limits housing to a preferred household composition.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occupancy-neutral features such as bedrooms, bathrooms, and common areas.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great for families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States a preference tied to familial status.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the property feature instead, such as '2 bedrooms, family room, and nearby parks.'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ideal for a family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States a preference tied to familial status.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the layout and amenities without naming an intended household type.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more than one child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 (HOPA-caution)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Restricts families with children and sets a child-count preference.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State neutral occupancy limits only when legally reviewed and tied to applicable code.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senior living community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 (HOPA-preferred)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References older-persons housing; acceptable only when the property has verified HOPA qualification.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Use senior-housing language only for properties with documented HOPA qualification.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55 and older community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 (HOPA-preferred)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References older-persons housing; acceptable only when the property has verified HOPA qualification.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Use this phrasing only for properties with documented HOPA qualification.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age-restricted housing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 (HOPA-preferred)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References age-restricted housing; acceptable only when the property has verified HOPA qualification.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Use age-restricted housing language only for properties with documented HOPA qualification.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ages 55 and up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 (HOPA-preferred)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References older-persons housing; acceptable only when the property has verified HOPA qualification.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Use this phrasing only for properties with documented HOPA qualification.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refusal to rent to families with children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Explicitly refuses housing based on familial status.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refusal language and describe neutral, lawful occupancy or property facts only.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suitable for large families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Discourages families with children from applying.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objective unit size, bedroom count, or occupancy limits without naming a preferred household.</w:t>
            </w:r>
          </w:p>
        </w:tc>
      </w:tr>
    </w:tbl>
    <w:p>
      <w:pPr>
        <w:pStyle w:val="Heading2"/>
        <w:spacing w:after="100" w:before="320"/>
      </w:pPr>
      <w:r>
        <w:t xml:space="preserve">Religion</w:t>
      </w:r>
    </w:p>
    <w:p>
      <w:pPr>
        <w:spacing w:after="180"/>
      </w:pPr>
      <w:r>
        <w:rPr>
          <w:i/>
          <w:iCs/>
          <w:color w:val="555555"/>
          <w:sz w:val="18"/>
          <w:szCs w:val="18"/>
        </w:rPr>
        <w:t xml:space="preserve">Federal class. (7 rules · 7 violation)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"/>
        <w:gridCol w:w="1250"/>
        <w:gridCol w:w="1550"/>
        <w:gridCol w:w="2260"/>
        <w:gridCol w:w="19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Phrase</w:t>
            </w:r>
          </w:p>
        </w:tc>
        <w:tc>
          <w:tcPr>
            <w:tcW w:type="dxa" w:w="8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2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5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Protected Class(es)</w:t>
            </w:r>
          </w:p>
        </w:tc>
        <w:tc>
          <w:tcPr>
            <w:tcW w:type="dxa" w:w="226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9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Suggested Rewrite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Christian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religion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References religion in a way that can signal a resident preference.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religious references and describe property features or neighborhood amenities neutrally.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Catholic community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religion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Signals a religious preference for the community.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the location or nearby landmarks without implying residents should share a religion.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Jewish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religion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References religion in a housing advertisement.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religious references and describe objective property or area features.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Muslim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religion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References religion in a housing advertisement.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religious references and describe objective property or area features.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church-going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religion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Signals a religious preference for residents.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property features, location, or amenities without referencing religious practice.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[religion]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religion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applicants based on religion.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religious exclusions and describe objective rental criteria only.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godly household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religion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Signals a religious preference for the household.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lease terms or home features without referencing resident beliefs.</w:t>
            </w:r>
          </w:p>
        </w:tc>
      </w:tr>
    </w:tbl>
    <w:p>
      <w:pPr>
        <w:pStyle w:val="Heading2"/>
        <w:spacing w:after="100" w:before="320"/>
      </w:pPr>
      <w:r>
        <w:t xml:space="preserve">Race, Color &amp; National Origin</w:t>
      </w:r>
    </w:p>
    <w:p>
      <w:pPr>
        <w:spacing w:after="180"/>
      </w:pPr>
      <w:r>
        <w:rPr>
          <w:i/>
          <w:iCs/>
          <w:color w:val="555555"/>
          <w:sz w:val="18"/>
          <w:szCs w:val="18"/>
        </w:rPr>
        <w:t xml:space="preserve">Federal classes. (8 rules · 8 violation)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"/>
        <w:gridCol w:w="1250"/>
        <w:gridCol w:w="1550"/>
        <w:gridCol w:w="2260"/>
        <w:gridCol w:w="19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Phrase</w:t>
            </w:r>
          </w:p>
        </w:tc>
        <w:tc>
          <w:tcPr>
            <w:tcW w:type="dxa" w:w="8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2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5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Protected Class(es)</w:t>
            </w:r>
          </w:p>
        </w:tc>
        <w:tc>
          <w:tcPr>
            <w:tcW w:type="dxa" w:w="226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9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Suggested Rewrite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whites only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race, color, national origin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or prefers residents based on race, color, or national origin.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demographic preferences and describe objective property features.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[race]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race, color, national origin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applicants based on race, color, or national origin.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demographic exclusions and describe neutral rental qualifications only.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Caucasian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race, color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References race or color in a housing advertisement.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race or color references and describe the property instead.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integrated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race, color, national origin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References racial or demographic composition in a housing context.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concrete neighborhood amenities without demographic characterization.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English only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national origin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May exclude applicants based on national origin.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State objective communication or application process details without language-based exclusion.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 speak English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national origin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May exclude applicants based on national origin.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Use neutral application requirements and provide language access details where applicable.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immigrants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national origin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applicants based on national origin.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national-origin exclusions and describe neutral rental qualifications only.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ethnic-preference references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race, color, national origin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Signals a preference based on ethnicity or national origin.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demographic preferences and describe the property or lease terms neutrally.</w:t>
            </w:r>
          </w:p>
        </w:tc>
      </w:tr>
    </w:tbl>
    <w:p>
      <w:pPr>
        <w:pStyle w:val="Heading2"/>
        <w:spacing w:after="100" w:before="320"/>
      </w:pPr>
      <w:r>
        <w:t xml:space="preserve">Disability</w:t>
      </w:r>
    </w:p>
    <w:p>
      <w:pPr>
        <w:spacing w:after="180"/>
      </w:pPr>
      <w:r>
        <w:rPr>
          <w:i/>
          <w:iCs/>
          <w:color w:val="555555"/>
          <w:sz w:val="18"/>
          <w:szCs w:val="18"/>
        </w:rPr>
        <w:t xml:space="preserve">Federal class. (7 rules · 7 violation)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"/>
        <w:gridCol w:w="1250"/>
        <w:gridCol w:w="1550"/>
        <w:gridCol w:w="2260"/>
        <w:gridCol w:w="19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Phrase</w:t>
            </w:r>
          </w:p>
        </w:tc>
        <w:tc>
          <w:tcPr>
            <w:tcW w:type="dxa" w:w="8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2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5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Protected Class(es)</w:t>
            </w:r>
          </w:p>
        </w:tc>
        <w:tc>
          <w:tcPr>
            <w:tcW w:type="dxa" w:w="226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9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Suggested Rewrite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wheelchairs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disability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residents based on disability.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the property's physical features without excluding assistive-device users.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able-bodied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disability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States a preference against people with disabilities.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accessibility features or physical characteristics of the property neutrally.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healthy only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disability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residents based on health or disability status.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health-based language and describe objective lease qualifications only.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for handicapped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disability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people with disabilities.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property access facts without stating who the home is or is not for.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HIV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disability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residents based on disability or health status.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health-status exclusions and use neutral rental criteria only.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physically fit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disability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Signals a disability-based preference.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stairs, elevator access, or terrain directly without describing desired residents.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 be able to climb stairs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disability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Sets a physical ability requirement for residents.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the building condition neutrally, such as 'third-floor walk-up; no elevator.'</w:t>
            </w:r>
          </w:p>
        </w:tc>
      </w:tr>
    </w:tbl>
    <w:p>
      <w:pPr>
        <w:pStyle w:val="Heading2"/>
        <w:spacing w:after="100" w:before="320"/>
      </w:pPr>
      <w:r>
        <w:t xml:space="preserve">Sex</w:t>
      </w:r>
    </w:p>
    <w:p>
      <w:pPr>
        <w:spacing w:after="180"/>
      </w:pPr>
      <w:r>
        <w:rPr>
          <w:i/>
          <w:iCs/>
          <w:color w:val="555555"/>
          <w:sz w:val="18"/>
          <w:szCs w:val="18"/>
        </w:rPr>
        <w:t xml:space="preserve">Federal class. (3 rules · 2 violation · 1 caution)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"/>
        <w:gridCol w:w="1250"/>
        <w:gridCol w:w="1550"/>
        <w:gridCol w:w="2260"/>
        <w:gridCol w:w="19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Phrase</w:t>
            </w:r>
          </w:p>
        </w:tc>
        <w:tc>
          <w:tcPr>
            <w:tcW w:type="dxa" w:w="8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2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5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Protected Class(es)</w:t>
            </w:r>
          </w:p>
        </w:tc>
        <w:tc>
          <w:tcPr>
            <w:tcW w:type="dxa" w:w="226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9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Suggested Rewrite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male only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sex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applicants based on sex.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sex-based preferences and describe neutral lease criteria only.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female only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sex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applicants based on sex.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sex-based preferences and describe neutral lease criteria only.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bachelor pad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sex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imply a gendered resident profile in some contexts.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the unit style directly, such as 'open-plan studio with built-in storage.'</w:t>
            </w:r>
          </w:p>
        </w:tc>
      </w:tr>
    </w:tbl>
    <w:p>
      <w:pPr>
        <w:pStyle w:val="Heading2"/>
        <w:spacing w:after="100" w:before="320"/>
      </w:pPr>
      <w:r>
        <w:t xml:space="preserve">Sexual Orientation</w:t>
      </w:r>
    </w:p>
    <w:p>
      <w:pPr>
        <w:spacing w:after="180"/>
      </w:pPr>
      <w:r>
        <w:rPr>
          <w:i/>
          <w:iCs/>
          <w:color w:val="555555"/>
          <w:sz w:val="18"/>
          <w:szCs w:val="18"/>
        </w:rPr>
        <w:t xml:space="preserve">State-dependent class — not named in the federal Fair Housing Act text; protection depends on the property's state/local jurisdiction. (2 rules · 2 violation)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"/>
        <w:gridCol w:w="1250"/>
        <w:gridCol w:w="1550"/>
        <w:gridCol w:w="2260"/>
        <w:gridCol w:w="19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Phrase</w:t>
            </w:r>
          </w:p>
        </w:tc>
        <w:tc>
          <w:tcPr>
            <w:tcW w:type="dxa" w:w="8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2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5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Protected Class(es)</w:t>
            </w:r>
          </w:p>
        </w:tc>
        <w:tc>
          <w:tcPr>
            <w:tcW w:type="dxa" w:w="226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9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Suggested Rewrite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gays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sexual orientation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applicants based on sexual orientation, which is protected in many state or local jurisdictions.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orientation-based exclusions and describe objective rental criteria only.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straight tenants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sexual orientation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Signals a sexual-orientation preference, which is protected in many state or local jurisdictions.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orientation-based references and describe property features or lease terms neutrally.</w:t>
            </w:r>
          </w:p>
        </w:tc>
      </w:tr>
    </w:tbl>
    <w:p>
      <w:pPr>
        <w:pStyle w:val="Heading2"/>
        <w:spacing w:after="100" w:before="320"/>
      </w:pPr>
      <w:r>
        <w:t xml:space="preserve">Gender Identity</w:t>
      </w:r>
    </w:p>
    <w:p>
      <w:pPr>
        <w:spacing w:after="180"/>
      </w:pPr>
      <w:r>
        <w:rPr>
          <w:i/>
          <w:iCs/>
          <w:color w:val="555555"/>
          <w:sz w:val="18"/>
          <w:szCs w:val="18"/>
        </w:rPr>
        <w:t xml:space="preserve">State-dependent class. (3 rules · 3 violation)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"/>
        <w:gridCol w:w="1250"/>
        <w:gridCol w:w="1550"/>
        <w:gridCol w:w="2260"/>
        <w:gridCol w:w="19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Phrase</w:t>
            </w:r>
          </w:p>
        </w:tc>
        <w:tc>
          <w:tcPr>
            <w:tcW w:type="dxa" w:w="8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2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5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Protected Class(es)</w:t>
            </w:r>
          </w:p>
        </w:tc>
        <w:tc>
          <w:tcPr>
            <w:tcW w:type="dxa" w:w="226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9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Suggested Rewrite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cisgender only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gender identity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applicants based on gender identity, which is protected in many state or local jurisdictions.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gender-identity-based exclusions and describe objective rental criteria only.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transgender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gender identity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applicants based on gender identity, which is protected in many state or local jurisdictions.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gender-identity-based exclusions and describe objective rental criteria only.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 present as your birth gender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gender identity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Conditions housing on gender presentation, which is a gender-identity exclusion protected in many state or local jurisdictions.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Remove any reference to gender presentation and describe lawful screening criteria only.</w:t>
            </w:r>
          </w:p>
        </w:tc>
      </w:tr>
    </w:tbl>
    <w:p>
      <w:pPr>
        <w:pStyle w:val="Heading2"/>
        <w:spacing w:after="100" w:before="320"/>
      </w:pPr>
      <w:r>
        <w:t xml:space="preserve">Marital Status</w:t>
      </w:r>
    </w:p>
    <w:p>
      <w:pPr>
        <w:spacing w:after="180"/>
      </w:pPr>
      <w:r>
        <w:rPr>
          <w:i/>
          <w:iCs/>
          <w:color w:val="555555"/>
          <w:sz w:val="18"/>
          <w:szCs w:val="18"/>
        </w:rPr>
        <w:t xml:space="preserve">State-dependent class. (3 rules · 3 violation)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"/>
        <w:gridCol w:w="1250"/>
        <w:gridCol w:w="1550"/>
        <w:gridCol w:w="2260"/>
        <w:gridCol w:w="19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Phrase</w:t>
            </w:r>
          </w:p>
        </w:tc>
        <w:tc>
          <w:tcPr>
            <w:tcW w:type="dxa" w:w="8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2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5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Protected Class(es)</w:t>
            </w:r>
          </w:p>
        </w:tc>
        <w:tc>
          <w:tcPr>
            <w:tcW w:type="dxa" w:w="226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9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Suggested Rewrite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married couples only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marital status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applicants based on marital status, which is protected in many state or local jurisdictions.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occupancy limits or lease terms without referencing marital status.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unmarried couples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marital status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applicants based on marital status, which is protected in many state or local jurisdictions.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occupancy limits or lease terms without referencing marital status.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unmarried couples not allowed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marital status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applicants based on marital status, which is protected in many state or local jurisdictions.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occupancy limits or lease terms without referencing marital status.</w:t>
            </w:r>
          </w:p>
        </w:tc>
      </w:tr>
    </w:tbl>
    <w:p>
      <w:pPr>
        <w:pStyle w:val="Heading2"/>
        <w:spacing w:after="100" w:before="320"/>
      </w:pPr>
      <w:r>
        <w:t xml:space="preserve">Age</w:t>
      </w:r>
    </w:p>
    <w:p>
      <w:pPr>
        <w:spacing w:after="180"/>
      </w:pPr>
      <w:r>
        <w:rPr>
          <w:i/>
          <w:iCs/>
          <w:color w:val="555555"/>
          <w:sz w:val="18"/>
          <w:szCs w:val="18"/>
        </w:rPr>
        <w:t xml:space="preserve">State-dependent class. Distinct from the HOPA senior-housing exemption above. (4 rules · 3 violation · 1 caution)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"/>
        <w:gridCol w:w="1250"/>
        <w:gridCol w:w="1550"/>
        <w:gridCol w:w="2260"/>
        <w:gridCol w:w="19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Phrase</w:t>
            </w:r>
          </w:p>
        </w:tc>
        <w:tc>
          <w:tcPr>
            <w:tcW w:type="dxa" w:w="8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2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5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Protected Class(es)</w:t>
            </w:r>
          </w:p>
        </w:tc>
        <w:tc>
          <w:tcPr>
            <w:tcW w:type="dxa" w:w="226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9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Suggested Rewrite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seniors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age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older applicants based on age, which is protected in some state or local jurisdictions. This is distinct from the HOPA senior-housing exemption, which permits age-restricted marketing only on verified qualifying properties.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the unit's features and lease terms without referencing applicant age.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one over 55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age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older applicants based on age, which is protected in some state or local jurisdictions.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the unit's features and lease terms without referencing applicant age.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 be under 30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age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older applicants based on age, which is protected in some state or local jurisdictions.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the unit's features and lease terms without referencing applicant age.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young professionals only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age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Coded language that can signal an age preference depending on context.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commute access, workspace features, or amenities instead of a preferred resident age or career stage.</w:t>
            </w:r>
          </w:p>
        </w:tc>
      </w:tr>
    </w:tbl>
    <w:p>
      <w:pPr>
        <w:pStyle w:val="Heading2"/>
        <w:spacing w:after="100" w:before="320"/>
      </w:pPr>
      <w:r>
        <w:t xml:space="preserve">Military / Veteran Status</w:t>
      </w:r>
    </w:p>
    <w:p>
      <w:pPr>
        <w:spacing w:after="180"/>
      </w:pPr>
      <w:r>
        <w:rPr>
          <w:i/>
          <w:iCs/>
          <w:color w:val="555555"/>
          <w:sz w:val="18"/>
          <w:szCs w:val="18"/>
        </w:rPr>
        <w:t xml:space="preserve">State-dependent class. (3 rules · 3 violation)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"/>
        <w:gridCol w:w="1250"/>
        <w:gridCol w:w="1550"/>
        <w:gridCol w:w="2260"/>
        <w:gridCol w:w="19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Phrase</w:t>
            </w:r>
          </w:p>
        </w:tc>
        <w:tc>
          <w:tcPr>
            <w:tcW w:type="dxa" w:w="8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2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5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Protected Class(es)</w:t>
            </w:r>
          </w:p>
        </w:tc>
        <w:tc>
          <w:tcPr>
            <w:tcW w:type="dxa" w:w="226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9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Suggested Rewrite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military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military / veteran status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applicants based on military or veteran status, which is protected in some state or local jurisdictions.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lawful, objective screening criteria without referencing military or veteran status.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veterans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military / veteran status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applicants based on military or veteran status, which is protected in some state or local jurisdictions.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lawful, objective screening criteria without referencing military or veteran status.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civilians only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military / veteran status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applicants based on military or veteran status, which is protected in some state or local jurisdictions.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lawful, objective screening criteria without referencing military or veteran status.</w:t>
            </w:r>
          </w:p>
        </w:tc>
      </w:tr>
    </w:tbl>
    <w:p>
      <w:pPr>
        <w:pStyle w:val="Heading2"/>
        <w:spacing w:after="100" w:before="320"/>
      </w:pPr>
      <w:r>
        <w:t xml:space="preserve">Source of Income</w:t>
      </w:r>
    </w:p>
    <w:p>
      <w:pPr>
        <w:spacing w:after="180"/>
      </w:pPr>
      <w:r>
        <w:rPr>
          <w:i/>
          <w:iCs/>
          <w:color w:val="555555"/>
          <w:sz w:val="18"/>
          <w:szCs w:val="18"/>
        </w:rPr>
        <w:t xml:space="preserve">State-dependent class — covers housing vouchers (e.g. Section 8) and other lawful income sources. (5 rules · 5 violation)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"/>
        <w:gridCol w:w="1250"/>
        <w:gridCol w:w="1550"/>
        <w:gridCol w:w="2260"/>
        <w:gridCol w:w="19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Phrase</w:t>
            </w:r>
          </w:p>
        </w:tc>
        <w:tc>
          <w:tcPr>
            <w:tcW w:type="dxa" w:w="8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2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5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Protected Class(es)</w:t>
            </w:r>
          </w:p>
        </w:tc>
        <w:tc>
          <w:tcPr>
            <w:tcW w:type="dxa" w:w="226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9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Suggested Rewrite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Section 8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income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voucher holders, a protected source-of-income category in many state or local jurisdictions.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lawful, objective income or screening criteria without voucher exclusions.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vouchers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income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Excludes voucher holders, a protected source-of-income category in many state or local jurisdictions.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lawful, objective income or screening criteria without voucher exclusions.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welfare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income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May exclude applicants based on source of income, which is protected in many state or local jurisdictions.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Use neutral, lawful screening criteria and avoid naming public benefits.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 be employed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income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May exclude lawful non-employment sources of income in jurisdictions that protect source of income.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State neutral income verification requirements without requiring employment as the only source.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refusal to accept vouchers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C2F2F"/>
                <w:sz w:val="17"/>
                <w:szCs w:val="17"/>
              </w:rPr>
              <w:t xml:space="preserve">Violation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income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Refuses applicants based on voucher or source-of-income status where protected by state or local law.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lawful, objective income or screening criteria without voucher exclusions.</w:t>
            </w:r>
          </w:p>
        </w:tc>
      </w:tr>
    </w:tbl>
    <w:p>
      <w:pPr>
        <w:pStyle w:val="Heading2"/>
        <w:spacing w:after="100" w:before="320"/>
      </w:pPr>
      <w:r>
        <w:t xml:space="preserve">Caution / Coded &amp; Steering Language</w:t>
      </w:r>
    </w:p>
    <w:p>
      <w:pPr>
        <w:spacing w:after="180"/>
      </w:pPr>
      <w:r>
        <w:rPr>
          <w:i/>
          <w:iCs/>
          <w:color w:val="555555"/>
          <w:sz w:val="18"/>
          <w:szCs w:val="18"/>
        </w:rPr>
        <w:t xml:space="preserve">Cross-cutting phrases that are not automatic violations but can signal exclusion depending on context — e.g. "great for families" is fine on its own but blocks when it completes a person-type construction. These score -12 rather than hard-blocking. (21 rules · 21 caution)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"/>
        <w:gridCol w:w="1250"/>
        <w:gridCol w:w="1550"/>
        <w:gridCol w:w="2260"/>
        <w:gridCol w:w="19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Phrase</w:t>
            </w:r>
          </w:p>
        </w:tc>
        <w:tc>
          <w:tcPr>
            <w:tcW w:type="dxa" w:w="8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2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5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Protected Class(es)</w:t>
            </w:r>
          </w:p>
        </w:tc>
        <w:tc>
          <w:tcPr>
            <w:tcW w:type="dxa" w:w="226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9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Suggested Rewrite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exclusive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race, color, national origin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read as coded or exclusionary when describing who belongs in a community.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Use objective descriptors such as amenities, finishes, service levels, or access controls.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executive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income, familial status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imply a preferred income, occupation, or household profile.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features like workspace, transit access, or finish quality without naming a resident type.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private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race, color, national origin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imply exclusion or preference depending on context.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the actual feature, such as 'controlled-access entry' or 'private balcony,' with care.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restricted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race, color, national origin, familial status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imply an exclusionary community standard.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objective eligibility, access, or lease requirements only after review.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limited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race, color, national origin, familial status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imply exclusion or scarcity in a steering context.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Use specific, factual availability language such as 'two homes available this week.'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prestigious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state-dependent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race, color, national origin, source of income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imply social or economic preference rather than property quality.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Name the concrete features that support the claim, such as finishes, location, or services.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traditional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status, religion, sex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imply a preference for a certain family, religious, or gender norm.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architectural style or finishes directly if that is the intended meaning.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family-oriented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signal a preference based on familial status.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amenities, room count, play areas, or nearby services without naming a preferred household.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family neighborhood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signal steering based on familial status.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Use neutral location details such as nearby parks, schools, transit, or retail.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safe area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race, color, national origin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Subjective safety claims can act as steering language.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Use objective facts such as lighting, controlled access, or published public data where appropriate.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safe neighborhood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race, color, national origin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Subjective neighborhood safety claims can act as steering language.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Use objective property features, access controls, or nearby amenities instead.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secure neighborhood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race, color, national origin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Subjective neighborhood security claims can act as steering language.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specific security features such as controlled-access gates or on-site lighting.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quiet building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status, disability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imply a preference against children or certain residents depending on context.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building construction, quiet hours, or unit location without implying resident preference.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walking distance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disability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imply assumptions about physical ability.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Use distance or transit facts, such as '0.4 miles to the station' or 'near transit.'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walk to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disability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imply assumptions about physical ability.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Use neutral proximity language such as 'near,' '0.2 miles from,' or 'served by transit.'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jog to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disability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imply assumptions about physical ability.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Use neutral proximity language such as 'near' or measured distance.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perfect for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status, sex, disability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turn property copy into a resident preference when followed by a type of person.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Replace with objective property features and avoid describing who should live there.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ideal for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status, sex, disability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turn property copy into a resident preference when followed by a type of person.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Replace with objective property features and avoid describing who should live there.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great for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status, sex, disability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turn property copy into a resident preference when followed by a type of person.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Replace with objective property features and avoid describing who should live there.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diverse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race, color, national origin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reference demographic composition rather than property features.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concrete neighborhood amenities without demographic characterization.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mixed community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8A6416"/>
                <w:sz w:val="17"/>
                <w:szCs w:val="17"/>
              </w:rPr>
              <w:t xml:space="preserve">Caution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race, color, national origin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Can reference demographic composition rather than property features.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 concrete neighborhood amenities without demographic characterization.</w:t>
            </w:r>
          </w:p>
        </w:tc>
      </w:tr>
    </w:tbl>
    <w:p>
      <w:pPr>
        <w:pStyle w:val="Heading2"/>
        <w:spacing w:after="100" w:before="320"/>
      </w:pPr>
      <w:r>
        <w:t xml:space="preserve">Acceptable — Property-Feature Language</w:t>
      </w:r>
    </w:p>
    <w:p>
      <w:pPr>
        <w:spacing w:after="180"/>
      </w:pPr>
      <w:r>
        <w:rPr>
          <w:i/>
          <w:iCs/>
          <w:color w:val="555555"/>
          <w:sz w:val="18"/>
          <w:szCs w:val="18"/>
        </w:rPr>
        <w:t xml:space="preserve">Phrases the engine explicitly clears because they describe the property, not a preferred resident (prevents over-flagging things like "wheelchair accessible" or "family room"). (11 rules · 11 acceptable)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"/>
        <w:gridCol w:w="1250"/>
        <w:gridCol w:w="1550"/>
        <w:gridCol w:w="2260"/>
        <w:gridCol w:w="19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Phrase</w:t>
            </w:r>
          </w:p>
        </w:tc>
        <w:tc>
          <w:tcPr>
            <w:tcW w:type="dxa" w:w="8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2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5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Protected Class(es)</w:t>
            </w:r>
          </w:p>
        </w:tc>
        <w:tc>
          <w:tcPr>
            <w:tcW w:type="dxa" w:w="226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9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Suggested Rewrite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wheelchair accessible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F6B4F"/>
                <w:sz w:val="17"/>
                <w:szCs w:val="17"/>
              </w:rPr>
              <w:t xml:space="preserve">Acceptable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disability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Describes an accessibility feature of the property.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rewrite needed; this describes a property feature.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accessible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F6B4F"/>
                <w:sz w:val="17"/>
                <w:szCs w:val="17"/>
              </w:rPr>
              <w:t xml:space="preserve">Acceptable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disability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Describes access or a property feature when not used to exclude residents.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rewrite needed when used to describe the property.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family room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F6B4F"/>
                <w:sz w:val="17"/>
                <w:szCs w:val="17"/>
              </w:rPr>
              <w:t xml:space="preserve">Acceptable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Describes a room type, not a preferred household.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rewrite needed; this describes the property.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master bedroom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F6B4F"/>
                <w:sz w:val="17"/>
                <w:szCs w:val="17"/>
              </w:rPr>
              <w:t xml:space="preserve">Acceptable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federal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familial status, sex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Describes a room type in the unit.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rewrite needed; this describes the property.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gated community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F6B4F"/>
                <w:sz w:val="17"/>
                <w:szCs w:val="17"/>
              </w:rPr>
              <w:t xml:space="preserve">Acceptable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property-feature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Describes an access-control property feature.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rewrite needed; this describes the property.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great view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F6B4F"/>
                <w:sz w:val="17"/>
                <w:szCs w:val="17"/>
              </w:rPr>
              <w:t xml:space="preserve">Acceptable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property-feature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Describes a property feature rather than a resident.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rewrite needed; this describes the property.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walk-in closet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F6B4F"/>
                <w:sz w:val="17"/>
                <w:szCs w:val="17"/>
              </w:rPr>
              <w:t xml:space="preserve">Acceptable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property-feature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Describes a storage feature.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rewrite needed; this describes the property.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renovated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F6B4F"/>
                <w:sz w:val="17"/>
                <w:szCs w:val="17"/>
              </w:rPr>
              <w:t xml:space="preserve">Acceptable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property-feature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Describes a property condition.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rewrite needed; this describes the property.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spacious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F6B4F"/>
                <w:sz w:val="17"/>
                <w:szCs w:val="17"/>
              </w:rPr>
              <w:t xml:space="preserve">Acceptable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property-feature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Describes the unit.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rewrite needed; this describes the property.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hardwood floors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F6B4F"/>
                <w:sz w:val="17"/>
                <w:szCs w:val="17"/>
              </w:rPr>
              <w:t xml:space="preserve">Acceptable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property-feature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Describes a finish in the unit.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rewrite needed; this describes the property.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near golf course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F6B4F"/>
                <w:sz w:val="17"/>
                <w:szCs w:val="17"/>
              </w:rPr>
              <w:t xml:space="preserve">Acceptable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property-feature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Describes location relative to an amenity.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rewrite needed; this describes the property.</w:t>
            </w:r>
          </w:p>
        </w:tc>
      </w:tr>
    </w:tbl>
    <w:p>
      <w:pPr>
        <w:pStyle w:val="Heading2"/>
        <w:spacing w:after="100" w:before="320"/>
      </w:pPr>
      <w:r>
        <w:t xml:space="preserve">Safe-Harbor Signals</w:t>
      </w:r>
    </w:p>
    <w:p>
      <w:pPr>
        <w:spacing w:after="180"/>
      </w:pPr>
      <w:r>
        <w:rPr>
          <w:i/>
          <w:iCs/>
          <w:color w:val="555555"/>
          <w:sz w:val="18"/>
          <w:szCs w:val="18"/>
        </w:rPr>
        <w:t xml:space="preserve">Equal Housing Opportunity statements. Logged as a positive compliance signal (+5 score, capped at 100). (2 rules · 2 acceptable)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"/>
        <w:gridCol w:w="1250"/>
        <w:gridCol w:w="1550"/>
        <w:gridCol w:w="2260"/>
        <w:gridCol w:w="19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Phrase</w:t>
            </w:r>
          </w:p>
        </w:tc>
        <w:tc>
          <w:tcPr>
            <w:tcW w:type="dxa" w:w="8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2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5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Protected Class(es)</w:t>
            </w:r>
          </w:p>
        </w:tc>
        <w:tc>
          <w:tcPr>
            <w:tcW w:type="dxa" w:w="226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95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Suggested Rewrite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Equal Housing Opportunity</w:t>
            </w:r>
          </w:p>
        </w:tc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F6B4F"/>
                <w:sz w:val="17"/>
                <w:szCs w:val="17"/>
              </w:rPr>
              <w:t xml:space="preserve">Acceptable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safe-harbor (safe-harbor)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Logs an Equal Housing Opportunity safe-harbor signal.</w:t>
            </w:r>
          </w:p>
        </w:tc>
        <w:tc>
          <w:tcPr>
            <w:tcW w:type="dxa" w:w="19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rewrite needed; retain this statement when appropriate.</w:t>
            </w:r>
          </w:p>
        </w:tc>
      </w:tr>
      <w:tr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EHO</w:t>
            </w:r>
          </w:p>
        </w:tc>
        <w:tc>
          <w:tcPr>
            <w:tcW w:type="dxa" w:w="8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F6B4F"/>
                <w:sz w:val="17"/>
                <w:szCs w:val="17"/>
              </w:rPr>
              <w:t xml:space="preserve">Acceptable</w:t>
            </w:r>
          </w:p>
        </w:tc>
        <w:tc>
          <w:tcPr>
            <w:tcW w:type="dxa" w:w="12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safe-harbor (safe-harbor)</w:t>
            </w:r>
          </w:p>
        </w:tc>
        <w:tc>
          <w:tcPr>
            <w:tcW w:type="dxa" w:w="15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2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Logs an EHO safe-harbor signal.</w:t>
            </w:r>
          </w:p>
        </w:tc>
        <w:tc>
          <w:tcPr>
            <w:tcW w:type="dxa" w:w="195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 rewrite needed; retain this statement when appropriate.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t xml:space="preserve">Part 2 — State &amp; Jurisdiction Reference</w:t>
      </w:r>
    </w:p>
    <w:p>
      <w:pPr>
        <w:spacing w:after="160"/>
      </w:pPr>
      <w:r>
        <w:rPr>
          <w:i/>
          <w:iCs/>
          <w:sz w:val="19"/>
          <w:szCs w:val="19"/>
        </w:rPr>
        <w:t xml:space="preserve">Source: src/data/state-jurisdiction.json, last reviewed 2026-07-20. Compliance-support reference for prototype jurisdiction gating, not legal advice and not a substitute for current legal research. State and local rules change; a licensed broker or counsel should own production review.</w:t>
      </w:r>
    </w:p>
    <w:p>
      <w:pPr>
        <w:pStyle w:val="Heading2"/>
        <w:spacing w:after="100" w:before="320"/>
      </w:pPr>
      <w:r>
        <w:t xml:space="preserve">Cited Legal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Legal Source</w:t>
            </w:r>
          </w:p>
        </w:tc>
        <w:tc>
          <w:tcPr>
            <w:tcW w:type="dxa" w:w="616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Citation / URL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42 U.S.C. 3607 housing-for-older-persons exemption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https://www.law.cornell.edu/uscode/text/42/3607</w:t>
            </w:r>
          </w:p>
        </w:tc>
      </w:tr>
      <w:tr>
        <w:tc>
          <w:tcPr>
            <w:tcW w:type="dxa" w:w="32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HUD 2021 Fair Housing Act LGBTQ enforcement announcement</w:t>
            </w:r>
          </w:p>
        </w:tc>
        <w:tc>
          <w:tcPr>
            <w:tcW w:type="dxa" w:w="61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https://www.hud.gov/press/press_releases_media_advisories/HUD_No_21_021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HUD HOPA implementation regulations, 24 CFR 100.305-100.307</w:t>
            </w:r>
          </w:p>
        </w:tc>
        <w:tc>
          <w:tcPr>
            <w:tcW w:type="dxa" w:w="6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https://www.ecfr.gov/current/title-24/subtitle-B/chapter-I/subchapter-A/part-100/subpart-E</w:t>
            </w:r>
          </w:p>
        </w:tc>
      </w:tr>
    </w:tbl>
    <w:p>
      <w:pPr>
        <w:pStyle w:val="Heading2"/>
        <w:spacing w:after="100" w:before="320"/>
      </w:pPr>
      <w:r>
        <w:t xml:space="preserve">State-Dependent Class Definitions</w:t>
      </w:r>
    </w:p>
    <w:p>
      <w:pPr>
        <w:spacing w:after="40" w:before="140"/>
      </w:pPr>
      <w:r>
        <w:rPr>
          <w:b/>
          <w:bCs/>
          <w:sz w:val="20"/>
          <w:szCs w:val="20"/>
        </w:rPr>
        <w:t xml:space="preserve">Source Of Income</w:t>
      </w:r>
    </w:p>
    <w:p>
      <w:pPr>
        <w:spacing w:after="160"/>
      </w:pPr>
      <w:r>
        <w:rPr>
          <w:i w:val="false"/>
          <w:iCs w:val="false"/>
          <w:sz w:val="19"/>
          <w:szCs w:val="19"/>
        </w:rPr>
        <w:t xml:space="preserve">Housing vouchers and other lawful income sources are not named protected classes under the federal Fair Housing Act; coverage is state/local dependent.</w:t>
      </w:r>
    </w:p>
    <w:p>
      <w:pPr>
        <w:spacing w:after="40" w:before="140"/>
      </w:pPr>
      <w:r>
        <w:rPr>
          <w:b/>
          <w:bCs/>
          <w:sz w:val="20"/>
          <w:szCs w:val="20"/>
        </w:rPr>
        <w:t xml:space="preserve">Sexual Orientation</w:t>
      </w:r>
    </w:p>
    <w:p>
      <w:pPr>
        <w:spacing w:after="160"/>
      </w:pPr>
      <w:r>
        <w:rPr>
          <w:i w:val="false"/>
          <w:iCs w:val="false"/>
          <w:sz w:val="19"/>
          <w:szCs w:val="19"/>
        </w:rPr>
        <w:t xml:space="preserve">The Fair Housing Act text does not name sexual orientation; explicit housing protections remain state/local dependent while federal enforcement posture has shifted.</w:t>
      </w:r>
    </w:p>
    <w:p>
      <w:pPr>
        <w:spacing w:after="40" w:before="140"/>
      </w:pPr>
      <w:r>
        <w:rPr>
          <w:b/>
          <w:bCs/>
          <w:sz w:val="20"/>
          <w:szCs w:val="20"/>
        </w:rPr>
        <w:t xml:space="preserve">Gender Identity</w:t>
      </w:r>
    </w:p>
    <w:p>
      <w:pPr>
        <w:spacing w:after="160"/>
      </w:pPr>
      <w:r>
        <w:rPr>
          <w:i w:val="false"/>
          <w:iCs w:val="false"/>
          <w:sz w:val="19"/>
          <w:szCs w:val="19"/>
        </w:rPr>
        <w:t xml:space="preserve">The Fair Housing Act text does not name gender identity; explicit housing protections remain state/local dependent while federal enforcement posture has shifted.</w:t>
      </w:r>
    </w:p>
    <w:p>
      <w:pPr>
        <w:spacing w:after="40" w:before="140"/>
      </w:pPr>
      <w:r>
        <w:rPr>
          <w:b/>
          <w:bCs/>
          <w:sz w:val="20"/>
          <w:szCs w:val="20"/>
        </w:rPr>
        <w:t xml:space="preserve">Marital Status</w:t>
      </w:r>
    </w:p>
    <w:p>
      <w:pPr>
        <w:spacing w:after="160"/>
      </w:pPr>
      <w:r>
        <w:rPr>
          <w:i w:val="false"/>
          <w:iCs w:val="false"/>
          <w:sz w:val="19"/>
          <w:szCs w:val="19"/>
        </w:rPr>
        <w:t xml:space="preserve">The Fair Housing Act text does not name marital status; explicit housing protections are state/local dependent, though marital status is one of the more commonly state-protected classes nationally.</w:t>
      </w:r>
    </w:p>
    <w:p>
      <w:pPr>
        <w:spacing w:after="40" w:before="140"/>
      </w:pPr>
      <w:r>
        <w:rPr>
          <w:b/>
          <w:bCs/>
          <w:sz w:val="20"/>
          <w:szCs w:val="20"/>
        </w:rPr>
        <w:t xml:space="preserve">Age</w:t>
      </w:r>
    </w:p>
    <w:p>
      <w:pPr>
        <w:spacing w:after="160"/>
      </w:pPr>
      <w:r>
        <w:rPr>
          <w:i w:val="false"/>
          <w:iCs w:val="false"/>
          <w:sz w:val="19"/>
          <w:szCs w:val="19"/>
        </w:rPr>
        <w:t xml:space="preserve">Age-based exclusion of applicants (distinct from the HOPA senior-housing exemption, which permits age-restricted marketing only on verified qualifying properties) is state/local dependent and less uniformly protected than other classes.</w:t>
      </w:r>
    </w:p>
    <w:p>
      <w:pPr>
        <w:spacing w:after="40" w:before="140"/>
      </w:pPr>
      <w:r>
        <w:rPr>
          <w:b/>
          <w:bCs/>
          <w:sz w:val="20"/>
          <w:szCs w:val="20"/>
        </w:rPr>
        <w:t xml:space="preserve">Military / Veteran Status</w:t>
      </w:r>
    </w:p>
    <w:p>
      <w:pPr>
        <w:spacing w:after="160"/>
      </w:pPr>
      <w:r>
        <w:rPr>
          <w:i w:val="false"/>
          <w:iCs w:val="false"/>
          <w:sz w:val="19"/>
          <w:szCs w:val="19"/>
        </w:rPr>
        <w:t xml:space="preserve">Military and veteran status is not a federal Fair Housing Act class; explicit protections are state/local dependent.</w:t>
      </w:r>
    </w:p>
    <w:p>
      <w:pPr>
        <w:pStyle w:val="Heading2"/>
        <w:spacing w:after="100" w:before="320"/>
      </w:pPr>
      <w:r>
        <w:t xml:space="preserve">Protected / Preempted States by Class</w:t>
      </w:r>
    </w:p>
    <w:p>
      <w:pPr>
        <w:spacing w:after="180"/>
      </w:pPr>
      <w:r>
        <w:rPr>
          <w:i/>
          <w:iCs/>
          <w:color w:val="555555"/>
          <w:sz w:val="18"/>
          <w:szCs w:val="18"/>
        </w:rPr>
        <w:t xml:space="preserve">"Protected" states extend housing-discrimination protection to this class by statute or regulation in this reference; "preempted" states have state law barring localities from adding protection. A blank list means no states are currently tagged for that side in this reference — not necessarily that none exist.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900"/>
        <w:gridCol w:w="3960"/>
      </w:tblGrid>
      <w:tr>
        <w:trPr>
          <w:tblHeader/>
        </w:trPr>
        <w:tc>
          <w:tcPr>
            <w:tcW w:type="dxa" w:w="20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Protected Class</w:t>
            </w:r>
          </w:p>
        </w:tc>
        <w:tc>
          <w:tcPr>
            <w:tcW w:type="dxa" w:w="15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Protected In (states)</w:t>
            </w:r>
          </w:p>
        </w:tc>
        <w:tc>
          <w:tcPr>
            <w:tcW w:type="dxa" w:w="190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Preempted In (states)</w:t>
            </w:r>
          </w:p>
        </w:tc>
        <w:tc>
          <w:tcPr>
            <w:tcW w:type="dxa" w:w="3960"/>
            <w:shd w:fill="1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Income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CA, CO, CT, DC, DE, HI, IL, ME, MD, MA, MI, MN, NJ, NY, ND, OK, OR, RI, UT, VT, VA, WA, WI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TX, IN, ID, IA, KY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TX: Texas is listed as preempting local source-of-income protections; voucher refusal is logged for visibility but not treated as a state-law publishing block in this prototype. NY: New York source-of-income protection is volatile in 2026; the NYC local Human Rights Law remains independently enforced, and the seeded NY property is modeled as NYC-local protected.</w:t>
            </w:r>
          </w:p>
        </w:tc>
      </w:tr>
      <w:tr>
        <w:tc>
          <w:tcPr>
            <w:tcW w:type="dxa" w:w="20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Sexual Orientation</w:t>
            </w:r>
          </w:p>
        </w:tc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CA, CO, CT, DC, DE, HI, IL, ME, MD, MA, MN, NV, NJ, NM, NY, OR, RI, VT, VA, WA</w:t>
            </w:r>
          </w:p>
        </w:tc>
        <w:tc>
          <w:tcPr>
            <w:tcW w:type="dxa" w:w="19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None listed</w:t>
            </w:r>
          </w:p>
        </w:tc>
        <w:tc>
          <w:tcPr>
            <w:tcW w:type="dxa" w:w="39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TX: Texas has no statewide sexual-orientation housing protection in this prototype reference; local ordinances may still matter.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Gender Identity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CA, CO, CT, DC, DE, HI, IL, ME, MD, MA, MN, NV, NJ, NM, NY, OR, RI, VT, VA, WA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None listed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Marital Status</w:t>
            </w:r>
          </w:p>
        </w:tc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CA, CO, CT, DC, IL, MD, MA, MI, MN, MT, NJ, NY, ND, WA, WI</w:t>
            </w:r>
          </w:p>
        </w:tc>
        <w:tc>
          <w:tcPr>
            <w:tcW w:type="dxa" w:w="19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None listed</w:t>
            </w:r>
          </w:p>
        </w:tc>
        <w:tc>
          <w:tcPr>
            <w:tcW w:type="dxa" w:w="39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TX: Texas has no statewide marital-status housing protection in this prototype reference; local ordinances may still matter.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Age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DC, NJ, NY, WI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None listed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TX: Texas has no statewide age housing protection in this prototype reference; local ordinances may still matter.</w:t>
            </w:r>
          </w:p>
        </w:tc>
      </w:tr>
      <w:tr>
        <w:tc>
          <w:tcPr>
            <w:tcW w:type="dxa" w:w="20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Military / Veteran Status</w:t>
            </w:r>
          </w:p>
        </w:tc>
        <w:tc>
          <w:tcPr>
            <w:tcW w:type="dxa" w:w="15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CA, IL, MA, MN, NJ, NY, WA</w:t>
            </w:r>
          </w:p>
        </w:tc>
        <w:tc>
          <w:tcPr>
            <w:tcW w:type="dxa" w:w="190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None listed</w:t>
            </w:r>
          </w:p>
        </w:tc>
        <w:tc>
          <w:tcPr>
            <w:tcW w:type="dxa" w:w="3960"/>
            <w:shd w:fill="EEF1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TX: Texas has no statewide military/veteran-status housing protection in this prototype reference; local ordinances may still matter.</w:t>
            </w:r>
          </w:p>
        </w:tc>
      </w:tr>
    </w:tbl>
    <w:p>
      <w:pPr>
        <w:pStyle w:val="Heading2"/>
        <w:spacing w:after="100" w:before="320"/>
      </w:pPr>
      <w:r>
        <w:t xml:space="preserve">Local (City-Level) Overrides</w:t>
      </w:r>
    </w:p>
    <w:p>
      <w:pPr>
        <w:spacing w:after="160"/>
      </w:pPr>
      <w:r>
        <w:rPr>
          <w:i w:val="false"/>
          <w:iCs w:val="false"/>
          <w:sz w:val="19"/>
          <w:szCs w:val="19"/>
        </w:rPr>
        <w:t xml:space="preserve">New York, NY — source of income: New York City is modeled as locally protected for source of income, independent of the unsettled 2026 state-law posture.</w:t>
      </w:r>
    </w:p>
    <w:p>
      <w:pPr>
        <w:pBdr>
          <w:top w:val="single" w:color="999999" w:sz="4" w:space="8"/>
        </w:pBdr>
        <w:spacing w:before="400"/>
      </w:pPr>
      <w:r>
        <w:rPr>
          <w:i/>
          <w:iCs/>
          <w:color w:val="666666"/>
          <w:sz w:val="17"/>
          <w:szCs w:val="17"/>
        </w:rPr>
        <w:t xml:space="preserve">Generated from src/data/compliance-rules.json (v2026.07.20) and src/data/state-jurisdiction.json (last reviewed 2026-07-20). Compliance-support reference for the LeaseReel prototype — not legal advice; production use requires licensed counsel review, per the prototype briefing.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2A44" w:sz="6" w:space="4"/>
      </w:pBdr>
      <w:spacing w:after="140" w:before="360"/>
    </w:pPr>
    <w:rPr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300"/>
    </w:pPr>
    <w:rPr>
      <w:b/>
      <w:bCs/>
      <w:color w:val="3A5A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2026-07-26T21:51:36.852Z</dcterms:created>
  <dcterms:modified xsi:type="dcterms:W3CDTF">2026-07-26T21:51:36.852Z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