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6181D"/>
          <w:sz w:val="44"/>
          <w:szCs w:val="44"/>
        </w:rPr>
        <w:t xml:space="preserve">LeaseReel™ + AI Asset Manager™</w:t>
      </w:r>
    </w:p>
    <w:p>
      <w:pPr>
        <w:spacing w:after="40"/>
      </w:pPr>
      <w:r>
        <w:rPr>
          <w:b/>
          <w:bCs/>
          <w:color w:val="1D4A7A"/>
          <w:sz w:val="30"/>
          <w:szCs w:val="30"/>
        </w:rPr>
        <w:t xml:space="preserve">Prototype Briefing</w:t>
      </w:r>
    </w:p>
    <w:p>
      <w:pPr>
        <w:spacing w:after="30"/>
      </w:pPr>
      <w:r>
        <w:rPr>
          <w:color w:val="5B6472"/>
          <w:sz w:val="20"/>
          <w:szCs w:val="20"/>
        </w:rPr>
        <w:t xml:space="preserve">Prepared by Sanjeev Varma  ·  July 21, 2026</w:t>
      </w:r>
    </w:p>
    <w:p>
      <w:pPr>
        <w:pBdr>
          <w:bottom w:val="single" w:color="1D4A7A" w:sz="10" w:space="8"/>
        </w:pBdr>
        <w:spacing w:after="360"/>
      </w:pPr>
      <w:r>
        <w:rPr>
          <w:i/>
          <w:iCs/>
          <w:color w:val="5B6472"/>
          <w:sz w:val="20"/>
          <w:szCs w:val="20"/>
        </w:rPr>
        <w:t xml:space="preserve">What the platform is, what I built, why it's grounded in real Fair Housing practice, and what's next.</w:t>
      </w:r>
    </w:p>
    <w:p>
      <w:pPr>
        <w:pStyle w:val="Heading1"/>
        <w:pBdr>
          <w:bottom w:val="single" w:color="1D4A7A" w:sz="6" w:space="4"/>
        </w:pBdr>
        <w:spacing w:after="180" w:before="420"/>
      </w:pPr>
      <w:r>
        <w:rPr>
          <w:b/>
          <w:bCs/>
          <w:color w:val="1D4A7A"/>
          <w:sz w:val="30"/>
          <w:szCs w:val="30"/>
        </w:rPr>
        <w:t xml:space="preserve">1. What LeaseReel + AI Asset Manager Is</w:t>
      </w:r>
    </w:p>
    <w:p>
      <w:pPr>
        <w:pStyle w:val="Heading2"/>
        <w:spacing w:after="120" w:before="300"/>
      </w:pPr>
      <w:r>
        <w:rPr>
          <w:b/>
          <w:bCs/>
          <w:color w:val="16181D"/>
          <w:sz w:val="24"/>
          <w:szCs w:val="24"/>
        </w:rPr>
        <w:t xml:space="preserve">The problem</w:t>
      </w:r>
    </w:p>
    <w:p>
      <w:pPr>
        <w:spacing w:after="160" w:line="276"/>
      </w:pPr>
      <w:r>
        <w:rPr>
          <w:i w:val="false"/>
          <w:iCs w:val="false"/>
          <w:color w:val="16181D"/>
          <w:sz w:val="21"/>
          <w:szCs w:val="21"/>
        </w:rPr>
        <w:t xml:space="preserve">There are roughly 16 million rental units in the U.S. — apartments and single-family rentals — owned by individuals and small operators who have a property manager but no asset manager. The property manager runs day-to-day operations: maintenance, rent collection, compliance. No one is separately watching whether the investment itself is performing — whether rent is optimized, whether a vendor is overcharging, whether marketing spend is actually converting to leases. The owner is flying blind, not because the data doesn't exist, but because no one has connected it and acted on it on the owner's behalf.</w:t>
      </w:r>
    </w:p>
    <w:p>
      <w:pPr>
        <w:spacing w:after="160" w:line="276"/>
      </w:pPr>
      <w:r>
        <w:rPr>
          <w:i w:val="false"/>
          <w:iCs w:val="false"/>
          <w:color w:val="16181D"/>
          <w:sz w:val="21"/>
          <w:szCs w:val="21"/>
        </w:rPr>
        <w:t xml:space="preserve">That blindness starts at leasing. Renters now shop for apartments on Instagram, TikTok, and Facebook — roughly four weeks and thirty touchpoints before ever contacting a leasing office. Most leasing operations aren't built to capture that social-first behavior at all.</w:t>
      </w:r>
    </w:p>
    <w:p>
      <w:pPr>
        <w:pStyle w:val="Heading2"/>
        <w:spacing w:after="120" w:before="300"/>
      </w:pPr>
      <w:r>
        <w:rPr>
          <w:b/>
          <w:bCs/>
          <w:color w:val="16181D"/>
          <w:sz w:val="24"/>
          <w:szCs w:val="24"/>
        </w:rPr>
        <w:t xml:space="preserve">The two-part solution</w:t>
      </w:r>
    </w:p>
    <w:p>
      <w:pPr>
        <w:spacing w:after="160" w:line="276"/>
      </w:pPr>
      <w:r>
        <w:rPr>
          <w:i w:val="false"/>
          <w:iCs w:val="false"/>
          <w:color w:val="16181D"/>
          <w:sz w:val="21"/>
          <w:szCs w:val="21"/>
        </w:rPr>
        <w:t xml:space="preserve">**LeaseReel** is the wedge product — a workflow tool leasing agents actually use day to day. An agent shoots a 15-second clip on their phone; AI (a bought capability, not built in-house) turns it into a polished, on-brand post; every post is automatically screened for Fair Housing compliance before publishing; it goes out to Instagram, TikTok, and Facebook; and every resulting DM, comment, or click is captured into an owned CRM instead of leaking. Corporate gets one dashboard showing what's being posted and what leads exist, across every property and every agent.</w:t>
      </w:r>
    </w:p>
    <w:p>
      <w:pPr>
        <w:spacing w:after="160" w:line="276"/>
      </w:pPr>
      <w:r>
        <w:rPr>
          <w:i w:val="false"/>
          <w:iCs w:val="false"/>
          <w:color w:val="16181D"/>
          <w:sz w:val="21"/>
          <w:szCs w:val="21"/>
        </w:rPr>
        <w:t xml:space="preserve">**AI Asset Manager** is the platform LeaseReel feeds into. It doesn't sit above the property manager as an oversight layer — it works alongside the PM, watching outcomes (vendor costs vs. market benchmarks, lease renewal timing, vacancy exposure, marketing ROI) and giving the owner the standing to have a productive, informed conversation with their PM instead of an adversarial one. Over time, within limits the owner sets, it moves from recommending actions to executing routine ones directly.</w:t>
      </w:r>
    </w:p>
    <w:p>
      <w:pPr>
        <w:pStyle w:val="Heading2"/>
        <w:spacing w:after="120" w:before="300"/>
      </w:pPr>
      <w:r>
        <w:rPr>
          <w:b/>
          <w:bCs/>
          <w:color w:val="16181D"/>
          <w:sz w:val="24"/>
          <w:szCs w:val="24"/>
        </w:rPr>
        <w:t xml:space="preserve">The strategy</w:t>
      </w:r>
    </w:p>
    <w:p>
      <w:pPr>
        <w:spacing w:after="160" w:line="276"/>
      </w:pPr>
      <w:r>
        <w:rPr>
          <w:i w:val="false"/>
          <w:iCs w:val="false"/>
          <w:color w:val="16181D"/>
          <w:sz w:val="21"/>
          <w:szCs w:val="21"/>
        </w:rPr>
        <w:t xml:space="preserve">The company deliberately buys the commoditized piece (AI video generation via Higgsfield/Opus Clip, social scheduling) and concentrates all engineering effort on the three things no leasing incumbent owns: Fair Housing compliance screening, the corporate governance dashboard, and an owned lead/CRM data layer. That's the stated moat. Go-to-market is a live 90-day pilot on real properties (not hypothetical design partners), measured against the property's own baseline and a control group on leases-per-vacant-unit, cost-per-lease, and lead-to-lease conversion. Pricing runs from $3,600/yr for a single property up to $42,000/yr for full-platform portfolios of 20–100 properties, with a possible future performance fee tied to documented NOI improvement.</w:t>
      </w:r>
    </w:p>
    <w:p>
      <w:pPr>
        <w:pStyle w:val="Heading2"/>
        <w:spacing w:after="120" w:before="300"/>
      </w:pPr>
      <w:r>
        <w:rPr>
          <w:b/>
          <w:bCs/>
          <w:color w:val="16181D"/>
          <w:sz w:val="24"/>
          <w:szCs w:val="24"/>
        </w:rPr>
        <w:t xml:space="preserve">Strengths</w:t>
      </w:r>
    </w:p>
    <w:p>
      <w:pPr>
        <w:pStyle w:val="ListParagraph"/>
        <w:numPr>
          <w:ilvl w:val="0"/>
          <w:numId w:val="2"/>
        </w:numPr>
        <w:spacing w:after="100" w:line="270"/>
      </w:pPr>
      <w:r>
        <w:rPr>
          <w:b/>
          <w:bCs/>
          <w:color w:val="16181D"/>
          <w:sz w:val="21"/>
          <w:szCs w:val="21"/>
        </w:rPr>
        <w:t xml:space="preserve">Real, specific market gap.</w:t>
      </w:r>
      <w:r>
        <w:rPr>
          <w:color w:val="16181D"/>
          <w:sz w:val="21"/>
          <w:szCs w:val="21"/>
        </w:rPr>
        <w:t xml:space="preserve"> Renter discovery has genuinely moved to social, and no leasing/PM incumbent — RealPage, Yardi, EliseAI, Funnel, Respage — owns Fair Housing-aware social governance. They cover chatbot, SEO, and reviews; none of them govern agent-driven social content. That's a defensible, named white space, not a vague opportunity.</w:t>
      </w:r>
    </w:p>
    <w:p>
      <w:pPr>
        <w:pStyle w:val="ListParagraph"/>
        <w:numPr>
          <w:ilvl w:val="0"/>
          <w:numId w:val="2"/>
        </w:numPr>
        <w:spacing w:after="100" w:line="270"/>
      </w:pPr>
      <w:r>
        <w:rPr>
          <w:b/>
          <w:bCs/>
          <w:color w:val="16181D"/>
          <w:sz w:val="21"/>
          <w:szCs w:val="21"/>
        </w:rPr>
        <w:t xml:space="preserve">Disciplined scope.</w:t>
      </w:r>
      <w:r>
        <w:rPr>
          <w:color w:val="16181D"/>
          <w:sz w:val="21"/>
          <w:szCs w:val="21"/>
        </w:rPr>
        <w:t xml:space="preserve"> Buying the commoditized AI video/scheduling pieces and building only the compliance, governance, and owned-data layers is the correct strategic call — it avoids competing with well-funded content-gen vendors and puts engineering exactly where the differentiation lives.</w:t>
      </w:r>
    </w:p>
    <w:p>
      <w:pPr>
        <w:pStyle w:val="ListParagraph"/>
        <w:numPr>
          <w:ilvl w:val="0"/>
          <w:numId w:val="2"/>
        </w:numPr>
        <w:spacing w:after="100" w:line="270"/>
      </w:pPr>
      <w:r>
        <w:rPr>
          <w:b/>
          <w:bCs/>
          <w:color w:val="16181D"/>
          <w:sz w:val="21"/>
          <w:szCs w:val="21"/>
        </w:rPr>
        <w:t xml:space="preserve">Founder-market fit is structural, not just credentialed.</w:t>
      </w:r>
      <w:r>
        <w:rPr>
          <w:color w:val="16181D"/>
          <w:sz w:val="21"/>
          <w:szCs w:val="21"/>
        </w:rPr>
        <w:t xml:space="preserve"> The three named backgrounds — CRE operator, licensed broker carrying fiduciary/licensing accountability, and AI/platform builder — combine into a moat that's hard to reverse-engineer specifically because the licensed accountability layer is regulated, not just technical.</w:t>
      </w:r>
    </w:p>
    <w:p>
      <w:pPr>
        <w:pStyle w:val="ListParagraph"/>
        <w:numPr>
          <w:ilvl w:val="0"/>
          <w:numId w:val="2"/>
        </w:numPr>
        <w:spacing w:after="100" w:line="270"/>
      </w:pPr>
      <w:r>
        <w:rPr>
          <w:b/>
          <w:bCs/>
          <w:color w:val="16181D"/>
          <w:sz w:val="21"/>
          <w:szCs w:val="21"/>
        </w:rPr>
        <w:t xml:space="preserve">Sound wedge-to-platform sequencing.</w:t>
      </w:r>
      <w:r>
        <w:rPr>
          <w:color w:val="16181D"/>
          <w:sz w:val="21"/>
          <w:szCs w:val="21"/>
        </w:rPr>
        <w:t xml:space="preserve"> LeaseReel is fast to prove out and immediately starts populating the AI Context Foundation that later modules (vendor, maintenance, financial intelligence) will depend on — so a successful pilot proves the data architecture, not just a leasing tool.</w:t>
      </w:r>
    </w:p>
    <w:p>
      <w:pPr>
        <w:pStyle w:val="ListParagraph"/>
        <w:numPr>
          <w:ilvl w:val="0"/>
          <w:numId w:val="2"/>
        </w:numPr>
        <w:spacing w:after="100" w:line="270"/>
      </w:pPr>
      <w:r>
        <w:rPr>
          <w:b/>
          <w:bCs/>
          <w:color w:val="16181D"/>
          <w:sz w:val="21"/>
          <w:szCs w:val="21"/>
        </w:rPr>
        <w:t xml:space="preserve">Grounded pilot plan.</w:t>
      </w:r>
      <w:r>
        <w:rPr>
          <w:color w:val="16181D"/>
          <w:sz w:val="21"/>
          <w:szCs w:val="21"/>
        </w:rPr>
        <w:t xml:space="preserve"> Testing against real assets and a real control group, rather than hypothetical partners, meaningfully de-risks the “does anyone actually want this” question before heavier investment.</w:t>
      </w:r>
    </w:p>
    <w:p>
      <w:pPr>
        <w:pStyle w:val="Heading2"/>
        <w:spacing w:after="120" w:before="300"/>
      </w:pPr>
      <w:r>
        <w:rPr>
          <w:b/>
          <w:bCs/>
          <w:color w:val="16181D"/>
          <w:sz w:val="24"/>
          <w:szCs w:val="24"/>
        </w:rPr>
        <w:t xml:space="preserve">Weaknesses / open risks</w:t>
      </w:r>
    </w:p>
    <w:p>
      <w:pPr>
        <w:pStyle w:val="ListParagraph"/>
        <w:numPr>
          <w:ilvl w:val="0"/>
          <w:numId w:val="2"/>
        </w:numPr>
        <w:spacing w:after="100" w:line="270"/>
      </w:pPr>
      <w:r>
        <w:rPr>
          <w:b/>
          <w:bCs/>
          <w:color w:val="16181D"/>
          <w:sz w:val="21"/>
          <w:szCs w:val="21"/>
        </w:rPr>
        <w:t xml:space="preserve">Three foundational decisions are still unresolved.</w:t>
      </w:r>
      <w:r>
        <w:rPr>
          <w:color w:val="16181D"/>
          <w:sz w:val="21"/>
          <w:szCs w:val="21"/>
        </w:rPr>
        <w:t xml:space="preserve"> CRM build-vs-integrate, the outcome-aligned fee structure, and first pilot property selection aren't edge-case details — they're central to both the product architecture and the economics, and the use case doc itself flags all three as open.</w:t>
      </w:r>
    </w:p>
    <w:p>
      <w:pPr>
        <w:pStyle w:val="ListParagraph"/>
        <w:numPr>
          <w:ilvl w:val="0"/>
          <w:numId w:val="2"/>
        </w:numPr>
        <w:spacing w:after="100" w:line="270"/>
      </w:pPr>
      <w:r>
        <w:rPr>
          <w:b/>
          <w:bCs/>
          <w:color w:val="16181D"/>
          <w:sz w:val="21"/>
          <w:szCs w:val="21"/>
        </w:rPr>
        <w:t xml:space="preserve">Fair Housing compliance is a moving legal target.</w:t>
      </w:r>
      <w:r>
        <w:rPr>
          <w:color w:val="16181D"/>
          <w:sz w:val="21"/>
          <w:szCs w:val="21"/>
        </w:rPr>
        <w:t xml:space="preserve"> Source-of-income and sexual-orientation protections alone vary state by state and are shifting at the federal level. An automated screening layer will always need a licensed human review path, and it isn't yet defined where liability sits if the tool misses something.</w:t>
      </w:r>
    </w:p>
    <w:p>
      <w:pPr>
        <w:pStyle w:val="ListParagraph"/>
        <w:numPr>
          <w:ilvl w:val="0"/>
          <w:numId w:val="2"/>
        </w:numPr>
        <w:spacing w:after="100" w:line="270"/>
      </w:pPr>
      <w:r>
        <w:rPr>
          <w:b/>
          <w:bCs/>
          <w:color w:val="16181D"/>
          <w:sz w:val="21"/>
          <w:szCs w:val="21"/>
        </w:rPr>
        <w:t xml:space="preserve">The “execute” layer is a much bigger leap than the wedge product.</w:t>
      </w:r>
      <w:r>
        <w:rPr>
          <w:color w:val="16181D"/>
          <w:sz w:val="21"/>
          <w:szCs w:val="21"/>
        </w:rPr>
        <w:t xml:space="preserve"> Auto-adjusting ad spend, initiating vendor rebids, and sending renewal offers on an owner's behalf require a level of trust and delegation well beyond screening and routing leads. The current draft treats it as a natural extension of LeaseReel rather than its own, harder problem.</w:t>
      </w:r>
    </w:p>
    <w:p>
      <w:pPr>
        <w:pStyle w:val="ListParagraph"/>
        <w:numPr>
          <w:ilvl w:val="0"/>
          <w:numId w:val="2"/>
        </w:numPr>
        <w:spacing w:after="100" w:line="270"/>
      </w:pPr>
      <w:r>
        <w:rPr>
          <w:b/>
          <w:bCs/>
          <w:color w:val="16181D"/>
          <w:sz w:val="21"/>
          <w:szCs w:val="21"/>
        </w:rPr>
        <w:t xml:space="preserve">Value-share pricing needs a clean attribution model.</w:t>
      </w:r>
      <w:r>
        <w:rPr>
          <w:color w:val="16181D"/>
          <w:sz w:val="21"/>
          <w:szCs w:val="21"/>
        </w:rPr>
        <w:t xml:space="preserve"> Charging a performance fee on NOI improvement requires a defensible baseline and attribution logic per property — getting this wrong (crediting the platform for gains that would have happened anyway) is a classic outcome-pricing failure mode, and it's more legally and operationally complex than a flat subscription.</w:t>
      </w:r>
    </w:p>
    <w:p>
      <w:pPr>
        <w:pStyle w:val="ListParagraph"/>
        <w:numPr>
          <w:ilvl w:val="0"/>
          <w:numId w:val="2"/>
        </w:numPr>
        <w:spacing w:after="100" w:line="270"/>
      </w:pPr>
      <w:r>
        <w:rPr>
          <w:b/>
          <w:bCs/>
          <w:color w:val="16181D"/>
          <w:sz w:val="21"/>
          <w:szCs w:val="21"/>
        </w:rPr>
        <w:t xml:space="preserve">Incumbents aren't standing still.</w:t>
      </w:r>
      <w:r>
        <w:rPr>
          <w:color w:val="16181D"/>
          <w:sz w:val="21"/>
          <w:szCs w:val="21"/>
        </w:rPr>
        <w:t xml:space="preserve"> RealPage, Yardi, and EliseAI already hold the property-level data and customer relationships. Nothing stops them from adding a compliance layer once this proves the market exists — so how fast a defensible data moat forms matters more than the current plan treats it.</w:t>
      </w:r>
    </w:p>
    <w:p>
      <w:pPr>
        <w:pStyle w:val="Heading1"/>
        <w:pBdr>
          <w:bottom w:val="single" w:color="1D4A7A" w:sz="6" w:space="4"/>
        </w:pBdr>
        <w:spacing w:after="180" w:before="420"/>
      </w:pPr>
      <w:r>
        <w:rPr>
          <w:b/>
          <w:bCs/>
          <w:color w:val="1D4A7A"/>
          <w:sz w:val="30"/>
          <w:szCs w:val="30"/>
        </w:rPr>
        <w:t xml:space="preserve">2. What the Prototype Is and Does</w:t>
      </w:r>
    </w:p>
    <w:p>
      <w:pPr>
        <w:spacing w:after="160" w:line="276"/>
      </w:pPr>
      <w:r>
        <w:rPr>
          <w:i w:val="false"/>
          <w:iCs w:val="false"/>
          <w:color w:val="16181D"/>
          <w:sz w:val="21"/>
          <w:szCs w:val="21"/>
        </w:rPr>
        <w:t xml:space="preserve">The prototype is a working, browser-based build (vanilla HTML/CSS/JS, with a production-ready Supabase/Postgres backend already wired in) that demonstrates the three capabilities the use case doc explicitly marks as “BUILD — core proprietary”: Fair Housing compliance screening, lead capture and CRM routing, and the corporate governance dashboard. It deliberately does not build the “BUY” items — AI video generation and social scheduling — matching the doc's own buy-vs-build strategy.</w:t>
      </w:r>
    </w:p>
    <w:p>
      <w:pPr>
        <w:spacing w:after="80" w:before="200"/>
      </w:pPr>
      <w:r>
        <w:rPr>
          <w:b/>
          <w:bCs/>
          <w:color w:val="16181D"/>
          <w:sz w:val="21"/>
          <w:szCs w:val="21"/>
        </w:rPr>
        <w:t xml:space="preserve">Six screens</w:t>
      </w:r>
    </w:p>
    <w:tbl>
      <w:tblPr>
        <w:tblW w:type="dxa" w:w="9600"/>
        <w:tblBorders>
          <w:top w:val="single" w:color="D9DEE5" w:sz="4"/>
          <w:left w:val="single" w:color="D9DEE5" w:sz="4"/>
          <w:bottom w:val="single" w:color="D9DEE5" w:sz="4"/>
          <w:right w:val="single" w:color="D9DEE5" w:sz="4"/>
          <w:insideH w:val="single" w:color="D9DEE5" w:sz="4"/>
          <w:insideV w:val="single" w:color="D9DEE5" w:sz="4"/>
        </w:tblBorders>
      </w:tblPr>
      <w:tblGrid>
        <w:gridCol w:w="1800"/>
        <w:gridCol w:w="7800"/>
      </w:tblGrid>
      <w:tr>
        <w:trPr>
          <w:tblHeader/>
        </w:trPr>
        <w:tc>
          <w:tcPr>
            <w:tcW w:type="dxa" w:w="1800"/>
            <w:shd w:fill="EEF2F6" w:val="clear"/>
            <w:tcMar>
              <w:top w:type="dxa" w:w="100"/>
              <w:left w:type="dxa" w:w="120"/>
              <w:bottom w:type="dxa" w:w="100"/>
              <w:right w:type="dxa" w:w="120"/>
            </w:tcMar>
            <w:vAlign w:val="center"/>
          </w:tcPr>
          <w:p>
            <w:pPr>
              <w:jc w:val="left"/>
            </w:pPr>
            <w:r>
              <w:rPr>
                <w:b/>
                <w:bCs/>
                <w:color w:val="16181D"/>
                <w:sz w:val="20"/>
                <w:szCs w:val="20"/>
              </w:rPr>
              <w:t xml:space="preserve">Screen</w:t>
            </w:r>
          </w:p>
        </w:tc>
        <w:tc>
          <w:tcPr>
            <w:tcW w:type="dxa" w:w="7800"/>
            <w:shd w:fill="EEF2F6" w:val="clear"/>
            <w:tcMar>
              <w:top w:type="dxa" w:w="100"/>
              <w:left w:type="dxa" w:w="120"/>
              <w:bottom w:type="dxa" w:w="100"/>
              <w:right w:type="dxa" w:w="120"/>
            </w:tcMar>
            <w:vAlign w:val="center"/>
          </w:tcPr>
          <w:p>
            <w:pPr>
              <w:jc w:val="left"/>
            </w:pPr>
            <w:r>
              <w:rPr>
                <w:b/>
                <w:bCs/>
                <w:color w:val="16181D"/>
                <w:sz w:val="20"/>
                <w:szCs w:val="20"/>
              </w:rPr>
              <w:t xml:space="preserve">What it shows</w:t>
            </w:r>
          </w:p>
        </w:tc>
      </w:tr>
      <w:tr>
        <w:tc>
          <w:tcPr>
            <w:tcW w:type="dxa" w:w="1800"/>
            <w:tcMar>
              <w:top w:type="dxa" w:w="100"/>
              <w:left w:type="dxa" w:w="120"/>
              <w:bottom w:type="dxa" w:w="100"/>
              <w:right w:type="dxa" w:w="120"/>
            </w:tcMar>
            <w:vAlign w:val="center"/>
          </w:tcPr>
          <w:p>
            <w:pPr>
              <w:jc w:val="left"/>
            </w:pPr>
            <w:r>
              <w:rPr>
                <w:b/>
                <w:bCs/>
                <w:color w:val="16181D"/>
                <w:sz w:val="19"/>
                <w:szCs w:val="19"/>
              </w:rPr>
              <w:t xml:space="preserve">Overview</w:t>
            </w:r>
          </w:p>
        </w:tc>
        <w:tc>
          <w:tcPr>
            <w:tcW w:type="dxa" w:w="7800"/>
            <w:tcMar>
              <w:top w:type="dxa" w:w="100"/>
              <w:left w:type="dxa" w:w="120"/>
              <w:bottom w:type="dxa" w:w="100"/>
              <w:right w:type="dxa" w:w="120"/>
            </w:tcMar>
            <w:vAlign w:val="center"/>
          </w:tcPr>
          <w:p>
            <w:pPr>
              <w:jc w:val="left"/>
            </w:pPr>
            <w:r>
              <w:rPr>
                <w:b w:val="false"/>
                <w:bCs w:val="false"/>
                <w:color w:val="16181D"/>
                <w:sz w:val="19"/>
                <w:szCs w:val="19"/>
              </w:rPr>
              <w:t xml:space="preserve">Portfolio summary tiles, compliance status mix, per-property compliance health, an 8-week screening-volume trend, a lead-pipeline snapshot, and a teaser of the top owner-facing signals. This is the “single governance pane” the use case doc calls for.</w:t>
            </w:r>
          </w:p>
        </w:tc>
      </w:tr>
      <w:tr>
        <w:tc>
          <w:tcPr>
            <w:tcW w:type="dxa" w:w="1800"/>
            <w:tcMar>
              <w:top w:type="dxa" w:w="100"/>
              <w:left w:type="dxa" w:w="120"/>
              <w:bottom w:type="dxa" w:w="100"/>
              <w:right w:type="dxa" w:w="120"/>
            </w:tcMar>
            <w:vAlign w:val="center"/>
          </w:tcPr>
          <w:p>
            <w:pPr>
              <w:jc w:val="left"/>
            </w:pPr>
            <w:r>
              <w:rPr>
                <w:b/>
                <w:bCs/>
                <w:color w:val="16181D"/>
                <w:sz w:val="19"/>
                <w:szCs w:val="19"/>
              </w:rPr>
              <w:t xml:space="preserve">Compliance</w:t>
            </w:r>
          </w:p>
        </w:tc>
        <w:tc>
          <w:tcPr>
            <w:tcW w:type="dxa" w:w="7800"/>
            <w:tcMar>
              <w:top w:type="dxa" w:w="100"/>
              <w:left w:type="dxa" w:w="120"/>
              <w:bottom w:type="dxa" w:w="100"/>
              <w:right w:type="dxa" w:w="120"/>
            </w:tcMar>
            <w:vAlign w:val="center"/>
          </w:tcPr>
          <w:p>
            <w:pPr>
              <w:jc w:val="left"/>
            </w:pPr>
            <w:r>
              <w:rPr>
                <w:b w:val="false"/>
                <w:bCs w:val="false"/>
                <w:color w:val="16181D"/>
                <w:sz w:val="19"/>
                <w:szCs w:val="19"/>
              </w:rPr>
              <w:t xml:space="preserve">The live Fair Housing checker — the centerpiece. Paste ad copy, run a check, get a score and verdict (Cleared / Needs review / Blocked), phrase-by-phrase findings with protected-class tags and plain-English rationale, and a one-click auto-fix that rewrites the flagged phrases and re-checks. Blocked copy cannot be “published” in the tool.</w:t>
            </w:r>
          </w:p>
        </w:tc>
      </w:tr>
      <w:tr>
        <w:tc>
          <w:tcPr>
            <w:tcW w:type="dxa" w:w="1800"/>
            <w:tcMar>
              <w:top w:type="dxa" w:w="100"/>
              <w:left w:type="dxa" w:w="120"/>
              <w:bottom w:type="dxa" w:w="100"/>
              <w:right w:type="dxa" w:w="120"/>
            </w:tcMar>
            <w:vAlign w:val="center"/>
          </w:tcPr>
          <w:p>
            <w:pPr>
              <w:jc w:val="left"/>
            </w:pPr>
            <w:r>
              <w:rPr>
                <w:b/>
                <w:bCs/>
                <w:color w:val="16181D"/>
                <w:sz w:val="19"/>
                <w:szCs w:val="19"/>
              </w:rPr>
              <w:t xml:space="preserve">Leads</w:t>
            </w:r>
          </w:p>
        </w:tc>
        <w:tc>
          <w:tcPr>
            <w:tcW w:type="dxa" w:w="7800"/>
            <w:tcMar>
              <w:top w:type="dxa" w:w="100"/>
              <w:left w:type="dxa" w:w="120"/>
              <w:bottom w:type="dxa" w:w="100"/>
              <w:right w:type="dxa" w:w="120"/>
            </w:tcMar>
            <w:vAlign w:val="center"/>
          </w:tcPr>
          <w:p>
            <w:pPr>
              <w:jc w:val="left"/>
            </w:pPr>
            <w:r>
              <w:rPr>
                <w:b w:val="false"/>
                <w:bCs w:val="false"/>
                <w:color w:val="16181D"/>
                <w:sz w:val="19"/>
                <w:szCs w:val="19"/>
              </w:rPr>
              <w:t xml:space="preserve">A capture form simulating an inbound DM, comment, or click, routed into a stage pipeline (new → contacted → toured → leased/lost) with a full stage-change history log per lead, plus a funnel and source-attribution view.</w:t>
            </w:r>
          </w:p>
        </w:tc>
      </w:tr>
      <w:tr>
        <w:tc>
          <w:tcPr>
            <w:tcW w:type="dxa" w:w="1800"/>
            <w:tcMar>
              <w:top w:type="dxa" w:w="100"/>
              <w:left w:type="dxa" w:w="120"/>
              <w:bottom w:type="dxa" w:w="100"/>
              <w:right w:type="dxa" w:w="120"/>
            </w:tcMar>
            <w:vAlign w:val="center"/>
          </w:tcPr>
          <w:p>
            <w:pPr>
              <w:jc w:val="left"/>
            </w:pPr>
            <w:r>
              <w:rPr>
                <w:b/>
                <w:bCs/>
                <w:color w:val="16181D"/>
                <w:sz w:val="19"/>
                <w:szCs w:val="19"/>
              </w:rPr>
              <w:t xml:space="preserve">Audit</w:t>
            </w:r>
          </w:p>
        </w:tc>
        <w:tc>
          <w:tcPr>
            <w:tcW w:type="dxa" w:w="7800"/>
            <w:tcMar>
              <w:top w:type="dxa" w:w="100"/>
              <w:left w:type="dxa" w:w="120"/>
              <w:bottom w:type="dxa" w:w="100"/>
              <w:right w:type="dxa" w:w="120"/>
            </w:tcMar>
            <w:vAlign w:val="center"/>
          </w:tcPr>
          <w:p>
            <w:pPr>
              <w:jc w:val="left"/>
            </w:pPr>
            <w:r>
              <w:rPr>
                <w:b w:val="false"/>
                <w:bCs w:val="false"/>
                <w:color w:val="16181D"/>
                <w:sz w:val="19"/>
                <w:szCs w:val="19"/>
              </w:rPr>
              <w:t xml:space="preserve">A read-only, timestamped ledger of every compliance check ever run — filterable by property and status, with the full finding detail preserved. This is the literal audit trail the use case doc names as the enterprise differentiator.</w:t>
            </w:r>
          </w:p>
        </w:tc>
      </w:tr>
      <w:tr>
        <w:tc>
          <w:tcPr>
            <w:tcW w:type="dxa" w:w="1800"/>
            <w:tcMar>
              <w:top w:type="dxa" w:w="100"/>
              <w:left w:type="dxa" w:w="120"/>
              <w:bottom w:type="dxa" w:w="100"/>
              <w:right w:type="dxa" w:w="120"/>
            </w:tcMar>
            <w:vAlign w:val="center"/>
          </w:tcPr>
          <w:p>
            <w:pPr>
              <w:jc w:val="left"/>
            </w:pPr>
            <w:r>
              <w:rPr>
                <w:b/>
                <w:bCs/>
                <w:color w:val="16181D"/>
                <w:sz w:val="19"/>
                <w:szCs w:val="19"/>
              </w:rPr>
              <w:t xml:space="preserve">Performance</w:t>
            </w:r>
          </w:p>
        </w:tc>
        <w:tc>
          <w:tcPr>
            <w:tcW w:type="dxa" w:w="7800"/>
            <w:tcMar>
              <w:top w:type="dxa" w:w="100"/>
              <w:left w:type="dxa" w:w="120"/>
              <w:bottom w:type="dxa" w:w="100"/>
              <w:right w:type="dxa" w:w="120"/>
            </w:tcMar>
            <w:vAlign w:val="center"/>
          </w:tcPr>
          <w:p>
            <w:pPr>
              <w:jc w:val="left"/>
            </w:pPr>
            <w:r>
              <w:rPr>
                <w:b w:val="false"/>
                <w:bCs w:val="false"/>
                <w:color w:val="16181D"/>
                <w:sz w:val="19"/>
                <w:szCs w:val="19"/>
              </w:rPr>
              <w:t xml:space="preserve">The use case's ‘90-day bar’ made tangible: social-attributed leases per vacant unit, cost-per-lease vs. blended paid channels, lead-to-lease conversion, days-on-market, and pilot-vs-baseline-vs-control comparisons.</w:t>
            </w:r>
          </w:p>
        </w:tc>
      </w:tr>
      <w:tr>
        <w:tc>
          <w:tcPr>
            <w:tcW w:type="dxa" w:w="1800"/>
            <w:tcMar>
              <w:top w:type="dxa" w:w="100"/>
              <w:left w:type="dxa" w:w="120"/>
              <w:bottom w:type="dxa" w:w="100"/>
              <w:right w:type="dxa" w:w="120"/>
            </w:tcMar>
            <w:vAlign w:val="center"/>
          </w:tcPr>
          <w:p>
            <w:pPr>
              <w:jc w:val="left"/>
            </w:pPr>
            <w:r>
              <w:rPr>
                <w:b/>
                <w:bCs/>
                <w:color w:val="16181D"/>
                <w:sz w:val="19"/>
                <w:szCs w:val="19"/>
              </w:rPr>
              <w:t xml:space="preserve">Signals</w:t>
            </w:r>
          </w:p>
        </w:tc>
        <w:tc>
          <w:tcPr>
            <w:tcW w:type="dxa" w:w="7800"/>
            <w:tcMar>
              <w:top w:type="dxa" w:w="100"/>
              <w:left w:type="dxa" w:w="120"/>
              <w:bottom w:type="dxa" w:w="100"/>
              <w:right w:type="dxa" w:w="120"/>
            </w:tcMar>
            <w:vAlign w:val="center"/>
          </w:tcPr>
          <w:p>
            <w:pPr>
              <w:jc w:val="left"/>
            </w:pPr>
            <w:r>
              <w:rPr>
                <w:b w:val="false"/>
                <w:bCs w:val="false"/>
                <w:color w:val="16181D"/>
                <w:sz w:val="19"/>
                <w:szCs w:val="19"/>
              </w:rPr>
              <w:t xml:space="preserve">A preview of the AI Asset Manager intelligence layer — owner-facing recommendations generated from LeaseReel's own leasing, compliance, and channel data, each labeled recommend vs. execute and tagged with which AI Context Foundation input it feeds.</w:t>
            </w:r>
          </w:p>
        </w:tc>
      </w:tr>
    </w:tbl>
    <w:p>
      <w:pPr>
        <w:spacing w:after="240" w:before="60"/>
      </w:pPr>
      <w:r>
        <w:rPr>
          <w:i/>
          <w:iCs/>
          <w:color w:val="5B6472"/>
          <w:sz w:val="18"/>
          <w:szCs w:val="18"/>
        </w:rPr>
        <w:t xml:space="preserve">Also includes a toggleable light/dark theme, an institutional (not “AI-default”) visual design, and verified mobile responsiveness.</w:t>
      </w:r>
    </w:p>
    <w:p>
      <w:pPr>
        <w:spacing w:after="80" w:before="200"/>
      </w:pPr>
      <w:r>
        <w:rPr>
          <w:b/>
          <w:bCs/>
          <w:color w:val="16181D"/>
          <w:sz w:val="21"/>
          <w:szCs w:val="21"/>
        </w:rPr>
        <w:t xml:space="preserve">Under the hood</w:t>
      </w:r>
    </w:p>
    <w:p>
      <w:pPr>
        <w:pStyle w:val="ListParagraph"/>
        <w:numPr>
          <w:ilvl w:val="0"/>
          <w:numId w:val="2"/>
        </w:numPr>
        <w:spacing w:after="100" w:line="270"/>
      </w:pPr>
      <w:r>
        <w:rPr>
          <w:b/>
          <w:bCs/>
          <w:color w:val="16181D"/>
          <w:sz w:val="21"/>
          <w:szCs w:val="21"/>
        </w:rPr>
        <w:t xml:space="preserve">A standalone compliance engine.</w:t>
      </w:r>
      <w:r>
        <w:rPr>
          <w:color w:val="16181D"/>
          <w:sz w:val="21"/>
          <w:szCs w:val="21"/>
        </w:rPr>
        <w:t xml:space="preserve"> Independent of the UI, it evaluates ad copy against 96 categorized rules across violation / caution / acceptable / informational tiers, covering the seven federal protected classes (race, color, religion, sex, disability, familial status, national origin) and six state-dependent classes (source of income, sexual orientation, gender identity, marital status, age, military/veteran status).</w:t>
      </w:r>
    </w:p>
    <w:p>
      <w:pPr>
        <w:pStyle w:val="ListParagraph"/>
        <w:numPr>
          <w:ilvl w:val="0"/>
          <w:numId w:val="2"/>
        </w:numPr>
        <w:spacing w:after="100" w:line="270"/>
      </w:pPr>
      <w:r>
        <w:rPr>
          <w:b/>
          <w:bCs/>
          <w:color w:val="16181D"/>
          <w:sz w:val="21"/>
          <w:szCs w:val="21"/>
        </w:rPr>
        <w:t xml:space="preserve">Jurisdiction-aware gating.</w:t>
      </w:r>
      <w:r>
        <w:rPr>
          <w:color w:val="16181D"/>
          <w:sz w:val="21"/>
          <w:szCs w:val="21"/>
        </w:rPr>
        <w:t xml:space="preserve"> The same phrase can correctly block in New York while only logging for visibility in Texas, and a verified HOPA-qualified senior property gets an explained exemption where a standard property would block on the same language.</w:t>
      </w:r>
    </w:p>
    <w:p>
      <w:pPr>
        <w:pStyle w:val="ListParagraph"/>
        <w:numPr>
          <w:ilvl w:val="0"/>
          <w:numId w:val="2"/>
        </w:numPr>
        <w:spacing w:after="100" w:line="270"/>
      </w:pPr>
      <w:r>
        <w:rPr>
          <w:b/>
          <w:bCs/>
          <w:color w:val="16181D"/>
          <w:sz w:val="21"/>
          <w:szCs w:val="21"/>
        </w:rPr>
        <w:t xml:space="preserve">20 automated tests, all passing</w:t>
      </w:r>
      <w:r>
        <w:rPr>
          <w:color w:val="16181D"/>
          <w:sz w:val="21"/>
          <w:szCs w:val="21"/>
        </w:rPr>
        <w:t xml:space="preserve"> (`npm test`), encoding real fair-housing edge cases rather than just happy paths.</w:t>
      </w:r>
    </w:p>
    <w:p>
      <w:pPr>
        <w:pStyle w:val="ListParagraph"/>
        <w:numPr>
          <w:ilvl w:val="0"/>
          <w:numId w:val="2"/>
        </w:numPr>
        <w:spacing w:after="100" w:line="270"/>
      </w:pPr>
      <w:r>
        <w:rPr>
          <w:b/>
          <w:bCs/>
          <w:color w:val="16181D"/>
          <w:sz w:val="21"/>
          <w:szCs w:val="21"/>
        </w:rPr>
        <w:t xml:space="preserve">Dual storage.</w:t>
      </w:r>
      <w:r>
        <w:rPr>
          <w:color w:val="16181D"/>
          <w:sz w:val="21"/>
          <w:szCs w:val="21"/>
        </w:rPr>
        <w:t xml:space="preserve"> Runs standalone on local browser storage for demoing, or against a real Supabase Postgres schema (already defined in `supabase/schema.sql`) for production use.</w:t>
      </w:r>
    </w:p>
    <w:p>
      <w:pPr>
        <w:pStyle w:val="Heading1"/>
        <w:pBdr>
          <w:bottom w:val="single" w:color="1D4A7A" w:sz="6" w:space="4"/>
        </w:pBdr>
        <w:spacing w:after="180" w:before="420"/>
      </w:pPr>
      <w:r>
        <w:rPr>
          <w:b/>
          <w:bCs/>
          <w:color w:val="1D4A7A"/>
          <w:sz w:val="30"/>
          <w:szCs w:val="30"/>
        </w:rPr>
        <w:t xml:space="preserve">3. Proof This Is Grounded, Not Generic AI Output</w:t>
      </w:r>
    </w:p>
    <w:p>
      <w:pPr>
        <w:spacing w:after="160" w:line="276"/>
      </w:pPr>
      <w:r>
        <w:rPr>
          <w:i w:val="false"/>
          <w:iCs w:val="false"/>
          <w:color w:val="16181D"/>
          <w:sz w:val="21"/>
          <w:szCs w:val="21"/>
        </w:rPr>
        <w:t xml:space="preserve">The strongest argument that this isn't “AI slop” is that it can be opened and inspected live. Each row below is a specific file or in-app moment worth pulling up in the meeting.</w:t>
      </w:r>
    </w:p>
    <w:tbl>
      <w:tblPr>
        <w:tblW w:type="dxa" w:w="9600"/>
        <w:tblBorders>
          <w:top w:val="single" w:color="D9DEE5" w:sz="4"/>
          <w:left w:val="single" w:color="D9DEE5" w:sz="4"/>
          <w:bottom w:val="single" w:color="D9DEE5" w:sz="4"/>
          <w:right w:val="single" w:color="D9DEE5" w:sz="4"/>
          <w:insideH w:val="single" w:color="D9DEE5" w:sz="4"/>
          <w:insideV w:val="single" w:color="D9DEE5" w:sz="4"/>
        </w:tblBorders>
      </w:tblPr>
      <w:tblGrid>
        <w:gridCol w:w="2600"/>
        <w:gridCol w:w="7000"/>
      </w:tblGrid>
      <w:tr>
        <w:trPr>
          <w:tblHeader/>
        </w:trPr>
        <w:tc>
          <w:tcPr>
            <w:tcW w:type="dxa" w:w="2600"/>
            <w:shd w:fill="EEF2F6" w:val="clear"/>
            <w:tcMar>
              <w:top w:type="dxa" w:w="100"/>
              <w:left w:type="dxa" w:w="120"/>
              <w:bottom w:type="dxa" w:w="100"/>
              <w:right w:type="dxa" w:w="120"/>
            </w:tcMar>
            <w:vAlign w:val="center"/>
          </w:tcPr>
          <w:p>
            <w:pPr>
              <w:jc w:val="left"/>
            </w:pPr>
            <w:r>
              <w:rPr>
                <w:b/>
                <w:bCs/>
                <w:color w:val="16181D"/>
                <w:sz w:val="20"/>
                <w:szCs w:val="20"/>
              </w:rPr>
              <w:t xml:space="preserve">Where to look</w:t>
            </w:r>
          </w:p>
        </w:tc>
        <w:tc>
          <w:tcPr>
            <w:tcW w:type="dxa" w:w="7000"/>
            <w:shd w:fill="EEF2F6" w:val="clear"/>
            <w:tcMar>
              <w:top w:type="dxa" w:w="100"/>
              <w:left w:type="dxa" w:w="120"/>
              <w:bottom w:type="dxa" w:w="100"/>
              <w:right w:type="dxa" w:w="120"/>
            </w:tcMar>
            <w:vAlign w:val="center"/>
          </w:tcPr>
          <w:p>
            <w:pPr>
              <w:jc w:val="left"/>
            </w:pPr>
            <w:r>
              <w:rPr>
                <w:b/>
                <w:bCs/>
                <w:color w:val="16181D"/>
                <w:sz w:val="20"/>
                <w:szCs w:val="20"/>
              </w:rPr>
              <w:t xml:space="preserve">What it proves</w:t>
            </w:r>
          </w:p>
        </w:tc>
      </w:tr>
      <w:tr>
        <w:tc>
          <w:tcPr>
            <w:tcW w:type="dxa" w:w="2600"/>
            <w:tcMar>
              <w:top w:type="dxa" w:w="100"/>
              <w:left w:type="dxa" w:w="120"/>
              <w:bottom w:type="dxa" w:w="100"/>
              <w:right w:type="dxa" w:w="120"/>
            </w:tcMar>
            <w:vAlign w:val="center"/>
          </w:tcPr>
          <w:p>
            <w:pPr>
              <w:jc w:val="left"/>
            </w:pPr>
            <w:r>
              <w:rPr>
                <w:b/>
                <w:bCs/>
                <w:color w:val="16181D"/>
                <w:sz w:val="18"/>
                <w:szCs w:val="18"/>
              </w:rPr>
              <w:t xml:space="preserve">src/data/compliance-rules.json</w:t>
            </w:r>
          </w:p>
        </w:tc>
        <w:tc>
          <w:tcPr>
            <w:tcW w:type="dxa" w:w="7000"/>
            <w:tcMar>
              <w:top w:type="dxa" w:w="100"/>
              <w:left w:type="dxa" w:w="120"/>
              <w:bottom w:type="dxa" w:w="100"/>
              <w:right w:type="dxa" w:w="120"/>
            </w:tcMar>
            <w:vAlign w:val="center"/>
          </w:tcPr>
          <w:p>
            <w:pPr>
              <w:jc w:val="left"/>
            </w:pPr>
            <w:r>
              <w:rPr>
                <w:b w:val="false"/>
                <w:bCs w:val="false"/>
                <w:color w:val="16181D"/>
                <w:sz w:val="19"/>
                <w:szCs w:val="19"/>
              </w:rPr>
              <w:t xml:space="preserve">96 hand-categorized rules — each with an id, tier, protected class(es), legal scope (federal vs. state-dependent), a plain-English rationale, and a suggested compliant rewrite. Open it and scroll: it reads like a maintained legal reference, not a keyword blocklist.</w:t>
            </w:r>
          </w:p>
        </w:tc>
      </w:tr>
      <w:tr>
        <w:tc>
          <w:tcPr>
            <w:tcW w:type="dxa" w:w="2600"/>
            <w:tcMar>
              <w:top w:type="dxa" w:w="100"/>
              <w:left w:type="dxa" w:w="120"/>
              <w:bottom w:type="dxa" w:w="100"/>
              <w:right w:type="dxa" w:w="120"/>
            </w:tcMar>
            <w:vAlign w:val="center"/>
          </w:tcPr>
          <w:p>
            <w:pPr>
              <w:jc w:val="left"/>
            </w:pPr>
            <w:r>
              <w:rPr>
                <w:b/>
                <w:bCs/>
                <w:color w:val="16181D"/>
                <w:sz w:val="18"/>
                <w:szCs w:val="18"/>
              </w:rPr>
              <w:t xml:space="preserve">src/data/state-jurisdiction.json</w:t>
            </w:r>
          </w:p>
        </w:tc>
        <w:tc>
          <w:tcPr>
            <w:tcW w:type="dxa" w:w="7000"/>
            <w:tcMar>
              <w:top w:type="dxa" w:w="100"/>
              <w:left w:type="dxa" w:w="120"/>
              <w:bottom w:type="dxa" w:w="100"/>
              <w:right w:type="dxa" w:w="120"/>
            </w:tcMar>
            <w:vAlign w:val="center"/>
          </w:tcPr>
          <w:p>
            <w:pPr>
              <w:jc w:val="left"/>
            </w:pPr>
            <w:r>
              <w:rPr>
                <w:b w:val="false"/>
                <w:bCs w:val="false"/>
                <w:color w:val="16181D"/>
                <w:sz w:val="19"/>
                <w:szCs w:val="19"/>
              </w:rPr>
              <w:t xml:space="preserve">Cites real legal sources inline — 42 U.S.C. § 3607 (the HOPA senior-housing exemption), HUD's 2021 Fair Housing Act LGBTQ enforcement announcement, and 24 CFR §§ 100.305–100.307 — with state-by-state protected/preempted lists, including real current nuance like Texas preempting local source-of-income protections while NYC's Human Rights Law independently protects it.</w:t>
            </w:r>
          </w:p>
        </w:tc>
      </w:tr>
      <w:tr>
        <w:tc>
          <w:tcPr>
            <w:tcW w:type="dxa" w:w="2600"/>
            <w:tcMar>
              <w:top w:type="dxa" w:w="100"/>
              <w:left w:type="dxa" w:w="120"/>
              <w:bottom w:type="dxa" w:w="100"/>
              <w:right w:type="dxa" w:w="120"/>
            </w:tcMar>
            <w:vAlign w:val="center"/>
          </w:tcPr>
          <w:p>
            <w:pPr>
              <w:jc w:val="left"/>
            </w:pPr>
            <w:r>
              <w:rPr>
                <w:b/>
                <w:bCs/>
                <w:color w:val="16181D"/>
                <w:sz w:val="18"/>
                <w:szCs w:val="18"/>
              </w:rPr>
              <w:t xml:space="preserve">Live in the Compliance screen</w:t>
            </w:r>
          </w:p>
        </w:tc>
        <w:tc>
          <w:tcPr>
            <w:tcW w:type="dxa" w:w="7000"/>
            <w:tcMar>
              <w:top w:type="dxa" w:w="100"/>
              <w:left w:type="dxa" w:w="120"/>
              <w:bottom w:type="dxa" w:w="100"/>
              <w:right w:type="dxa" w:w="120"/>
            </w:tcMar>
            <w:vAlign w:val="center"/>
          </w:tcPr>
          <w:p>
            <w:pPr>
              <w:jc w:val="left"/>
            </w:pPr>
            <w:r>
              <w:rPr>
                <w:b w:val="false"/>
                <w:bCs w:val="false"/>
                <w:color w:val="16181D"/>
                <w:sz w:val="19"/>
                <w:szCs w:val="19"/>
              </w:rPr>
              <w:t xml:space="preserve">Type “wheelchair accessible” next to “no wheelchairs” in the same sentence: one clears, one blocks. Run the same senior-housing phrase against a HOPA-qualified property (clears with an explained exemption) vs. a standard property (blocks). This context-handling is the single most convincing demo moment — it shows the engine understands intent, not just string matching.</w:t>
            </w:r>
          </w:p>
        </w:tc>
      </w:tr>
      <w:tr>
        <w:tc>
          <w:tcPr>
            <w:tcW w:type="dxa" w:w="2600"/>
            <w:tcMar>
              <w:top w:type="dxa" w:w="100"/>
              <w:left w:type="dxa" w:w="120"/>
              <w:bottom w:type="dxa" w:w="100"/>
              <w:right w:type="dxa" w:w="120"/>
            </w:tcMar>
            <w:vAlign w:val="center"/>
          </w:tcPr>
          <w:p>
            <w:pPr>
              <w:jc w:val="left"/>
            </w:pPr>
            <w:r>
              <w:rPr>
                <w:b/>
                <w:bCs/>
                <w:color w:val="16181D"/>
                <w:sz w:val="18"/>
                <w:szCs w:val="18"/>
              </w:rPr>
              <w:t xml:space="preserve">tests/complianceEngine.test.js &amp; tests/copilot.test.js</w:t>
            </w:r>
          </w:p>
        </w:tc>
        <w:tc>
          <w:tcPr>
            <w:tcW w:type="dxa" w:w="7000"/>
            <w:tcMar>
              <w:top w:type="dxa" w:w="100"/>
              <w:left w:type="dxa" w:w="120"/>
              <w:bottom w:type="dxa" w:w="100"/>
              <w:right w:type="dxa" w:w="120"/>
            </w:tcMar>
            <w:vAlign w:val="center"/>
          </w:tcPr>
          <w:p>
            <w:pPr>
              <w:jc w:val="left"/>
            </w:pPr>
            <w:r>
              <w:rPr>
                <w:b w:val="false"/>
                <w:bCs w:val="false"/>
                <w:color w:val="16181D"/>
                <w:sz w:val="19"/>
                <w:szCs w:val="19"/>
              </w:rPr>
              <w:t xml:space="preserve">20 automated tests, all passing, covering HOPA-qualified vs. non-HOPA housing, Texas vs. New York source-of-income variance, hyphenated phrase variants, and paraphrased refusal constructions (“we do not rent to families with kids”). Running `npm test` live in the meeting and showing a green suite is a strong signal on its own.</w:t>
            </w:r>
          </w:p>
        </w:tc>
      </w:tr>
      <w:tr>
        <w:tc>
          <w:tcPr>
            <w:tcW w:type="dxa" w:w="2600"/>
            <w:tcMar>
              <w:top w:type="dxa" w:w="100"/>
              <w:left w:type="dxa" w:w="120"/>
              <w:bottom w:type="dxa" w:w="100"/>
              <w:right w:type="dxa" w:w="120"/>
            </w:tcMar>
            <w:vAlign w:val="center"/>
          </w:tcPr>
          <w:p>
            <w:pPr>
              <w:jc w:val="left"/>
            </w:pPr>
            <w:r>
              <w:rPr>
                <w:b/>
                <w:bCs/>
                <w:color w:val="16181D"/>
                <w:sz w:val="18"/>
                <w:szCs w:val="18"/>
              </w:rPr>
              <w:t xml:space="preserve">LeaseReel_Prototype_Build_Spec.md, §3</w:t>
            </w:r>
          </w:p>
        </w:tc>
        <w:tc>
          <w:tcPr>
            <w:tcW w:type="dxa" w:w="7000"/>
            <w:tcMar>
              <w:top w:type="dxa" w:w="100"/>
              <w:left w:type="dxa" w:w="120"/>
              <w:bottom w:type="dxa" w:w="100"/>
              <w:right w:type="dxa" w:w="120"/>
            </w:tcMar>
            <w:vAlign w:val="center"/>
          </w:tcPr>
          <w:p>
            <w:pPr>
              <w:jc w:val="left"/>
            </w:pPr>
            <w:r>
              <w:rPr>
                <w:b w:val="false"/>
                <w:bCs w:val="false"/>
                <w:color w:val="16181D"/>
                <w:sz w:val="19"/>
                <w:szCs w:val="19"/>
              </w:rPr>
              <w:t xml:space="preserve">Documents the actual three-tier framework (violation / caution / acceptable) this is built on, grounded in real HUD-aligned Fair Housing advertising guidance, with the reasoning behind every judgment call — e.g., why “gated community” is fine but “exclusive” is a caution.</w:t>
            </w:r>
          </w:p>
        </w:tc>
      </w:tr>
    </w:tbl>
    <w:p>
      <w:pPr>
        <w:spacing w:after="240" w:before="60"/>
      </w:pPr>
      <w:r>
        <w:rPr>
          <w:i/>
          <w:iCs/>
          <w:color w:val="5B6472"/>
          <w:sz w:val="18"/>
          <w:szCs w:val="18"/>
        </w:rPr>
        <w:t xml:space="preserve"/>
      </w:r>
    </w:p>
    <w:p>
      <w:pPr>
        <w:spacing w:after="160" w:line="276"/>
      </w:pPr>
      <w:r>
        <w:rPr>
          <w:i w:val="false"/>
          <w:iCs w:val="false"/>
          <w:color w:val="16181D"/>
          <w:sz w:val="21"/>
          <w:szCs w:val="21"/>
        </w:rPr>
        <w:t xml:space="preserve">One more point worth making explicitly: the scoring model mirrors how real Fair Housing enforcement actually works — a single violation hard-blocks regardless of the overall score. You can't average your way out of one explicit exclusion. That's a deliberate reflection of real enforcement behavior, not an arbitrary product choice.</w:t>
      </w:r>
    </w:p>
    <w:p>
      <w:pPr>
        <w:pStyle w:val="Heading1"/>
        <w:pBdr>
          <w:bottom w:val="single" w:color="1D4A7A" w:sz="6" w:space="4"/>
        </w:pBdr>
        <w:spacing w:after="180" w:before="420"/>
      </w:pPr>
      <w:r>
        <w:rPr>
          <w:b/>
          <w:bCs/>
          <w:color w:val="1D4A7A"/>
          <w:sz w:val="30"/>
          <w:szCs w:val="30"/>
        </w:rPr>
        <w:t xml:space="preserve">4. Suggested Next Steps</w:t>
      </w:r>
    </w:p>
    <w:p>
      <w:pPr>
        <w:spacing w:after="160" w:line="276"/>
      </w:pPr>
      <w:r>
        <w:rPr>
          <w:i w:val="false"/>
          <w:iCs w:val="false"/>
          <w:color w:val="16181D"/>
          <w:sz w:val="21"/>
          <w:szCs w:val="21"/>
        </w:rPr>
        <w:t xml:space="preserve">Framed as if I'm the primary builder carrying this forward — prioritized, not exhaustive.</w:t>
      </w:r>
    </w:p>
    <w:p>
      <w:pPr>
        <w:pStyle w:val="Heading2"/>
        <w:spacing w:after="120" w:before="300"/>
      </w:pPr>
      <w:r>
        <w:rPr>
          <w:b/>
          <w:bCs/>
          <w:color w:val="16181D"/>
          <w:sz w:val="24"/>
          <w:szCs w:val="24"/>
        </w:rPr>
        <w:t xml:space="preserve">Near-term — before or around the pilot</w:t>
      </w:r>
    </w:p>
    <w:p>
      <w:pPr>
        <w:pStyle w:val="ListParagraph"/>
        <w:numPr>
          <w:ilvl w:val="0"/>
          <w:numId w:val="3"/>
        </w:numPr>
        <w:spacing w:after="120" w:line="270"/>
      </w:pPr>
      <w:r>
        <w:rPr>
          <w:b/>
          <w:bCs/>
          <w:color w:val="16181D"/>
          <w:sz w:val="21"/>
          <w:szCs w:val="21"/>
        </w:rPr>
        <w:t xml:space="preserve">Close the trust gap on Signals.</w:t>
      </w:r>
      <w:r>
        <w:rPr>
          <w:color w:val="16181D"/>
          <w:sz w:val="21"/>
          <w:szCs w:val="21"/>
        </w:rPr>
        <w:t xml:space="preserve"> It's currently a labeled preview. Before any real “execute” capability ships, build an approval/audit workflow so an owner can see exactly what an execute action would do before it goes live.</w:t>
      </w:r>
    </w:p>
    <w:p>
      <w:pPr>
        <w:pStyle w:val="ListParagraph"/>
        <w:numPr>
          <w:ilvl w:val="0"/>
          <w:numId w:val="3"/>
        </w:numPr>
        <w:spacing w:after="120" w:line="270"/>
      </w:pPr>
      <w:r>
        <w:rPr>
          <w:b/>
          <w:bCs/>
          <w:color w:val="16181D"/>
          <w:sz w:val="21"/>
          <w:szCs w:val="21"/>
        </w:rPr>
        <w:t xml:space="preserve">Stand up the Supabase backend for real.</w:t>
      </w:r>
      <w:r>
        <w:rPr>
          <w:color w:val="16181D"/>
          <w:sz w:val="21"/>
          <w:szCs w:val="21"/>
        </w:rPr>
        <w:t xml:space="preserve"> The schema already exists; deploying it lets the prototype survive beyond a single browser session and support an actual pilot property.</w:t>
      </w:r>
    </w:p>
    <w:p>
      <w:pPr>
        <w:pStyle w:val="ListParagraph"/>
        <w:numPr>
          <w:ilvl w:val="0"/>
          <w:numId w:val="3"/>
        </w:numPr>
        <w:spacing w:after="120" w:line="270"/>
      </w:pPr>
      <w:r>
        <w:rPr>
          <w:b/>
          <w:bCs/>
          <w:color w:val="16181D"/>
          <w:sz w:val="21"/>
          <w:szCs w:val="21"/>
        </w:rPr>
        <w:t xml:space="preserve">Get the rule set and jurisdiction file in front of licensed counsel or Francisco.</w:t>
      </w:r>
      <w:r>
        <w:rPr>
          <w:color w:val="16181D"/>
          <w:sz w:val="21"/>
          <w:szCs w:val="21"/>
        </w:rPr>
        <w:t xml:space="preserve"> The data is well-structured and cites real sources, but it's explicitly labeled “not legal advice.” Production use needs a licensed sign-off, consistent with the doc's own point that the licensed layer is what makes this defensible.</w:t>
      </w:r>
    </w:p>
    <w:p>
      <w:pPr>
        <w:pStyle w:val="ListParagraph"/>
        <w:numPr>
          <w:ilvl w:val="0"/>
          <w:numId w:val="3"/>
        </w:numPr>
        <w:spacing w:after="120" w:line="270"/>
      </w:pPr>
      <w:r>
        <w:rPr>
          <w:b/>
          <w:bCs/>
          <w:color w:val="16181D"/>
          <w:sz w:val="21"/>
          <w:szCs w:val="21"/>
        </w:rPr>
        <w:t xml:space="preserve">Build the real ingestion side.</w:t>
      </w:r>
      <w:r>
        <w:rPr>
          <w:color w:val="16181D"/>
          <w:sz w:val="21"/>
          <w:szCs w:val="21"/>
        </w:rPr>
        <w:t xml:space="preserve"> DM/comment/click capture from Instagram, TikTok, and Facebook is currently a manual form. Real ingestion is what makes the “no lead leaks” claim true and the CRM data genuinely owned rather than hand-entered.</w:t>
      </w:r>
    </w:p>
    <w:p>
      <w:pPr>
        <w:pStyle w:val="Heading2"/>
        <w:spacing w:after="120" w:before="300"/>
      </w:pPr>
      <w:r>
        <w:rPr>
          <w:b/>
          <w:bCs/>
          <w:color w:val="16181D"/>
          <w:sz w:val="24"/>
          <w:szCs w:val="24"/>
        </w:rPr>
        <w:t xml:space="preserve">Mid-term — pilot-proving</w:t>
      </w:r>
    </w:p>
    <w:p>
      <w:pPr>
        <w:pStyle w:val="ListParagraph"/>
        <w:numPr>
          <w:ilvl w:val="0"/>
          <w:numId w:val="3"/>
        </w:numPr>
        <w:spacing w:after="120" w:line="270"/>
      </w:pPr>
      <w:r>
        <w:rPr>
          <w:b/>
          <w:bCs/>
          <w:color w:val="16181D"/>
          <w:sz w:val="21"/>
          <w:szCs w:val="21"/>
        </w:rPr>
        <w:t xml:space="preserve">Replace seeded Performance/Signals data with live computation</w:t>
      </w:r>
      <w:r>
        <w:rPr>
          <w:color w:val="16181D"/>
          <w:sz w:val="21"/>
          <w:szCs w:val="21"/>
        </w:rPr>
        <w:t xml:space="preserve"> against real pilot-property data once a pilot property is selected, so the 90-day-bar metrics are real rather than illustrative.</w:t>
      </w:r>
    </w:p>
    <w:p>
      <w:pPr>
        <w:pStyle w:val="ListParagraph"/>
        <w:numPr>
          <w:ilvl w:val="0"/>
          <w:numId w:val="3"/>
        </w:numPr>
        <w:spacing w:after="120" w:line="270"/>
      </w:pPr>
      <w:r>
        <w:rPr>
          <w:b/>
          <w:bCs/>
          <w:color w:val="16181D"/>
          <w:sz w:val="21"/>
          <w:szCs w:val="21"/>
        </w:rPr>
        <w:t xml:space="preserve">Wire in the actual content-generation layer</w:t>
      </w:r>
      <w:r>
        <w:rPr>
          <w:color w:val="16181D"/>
          <w:sz w:val="21"/>
          <w:szCs w:val="21"/>
        </w:rPr>
        <w:t xml:space="preserve"> (Higgsfield/Opus Clip) behind the compliance screen, per the doc's architecture, so the flow runs end to end from a raw clip to a screened, published post — not just from pasted text.</w:t>
      </w:r>
    </w:p>
    <w:p>
      <w:pPr>
        <w:pStyle w:val="ListParagraph"/>
        <w:numPr>
          <w:ilvl w:val="0"/>
          <w:numId w:val="3"/>
        </w:numPr>
        <w:spacing w:after="120" w:line="270"/>
      </w:pPr>
      <w:r>
        <w:rPr>
          <w:b/>
          <w:bCs/>
          <w:color w:val="16181D"/>
          <w:sz w:val="21"/>
          <w:szCs w:val="21"/>
        </w:rPr>
        <w:t xml:space="preserve">Add basic auth and roles</w:t>
      </w:r>
      <w:r>
        <w:rPr>
          <w:color w:val="16181D"/>
          <w:sz w:val="21"/>
          <w:szCs w:val="21"/>
        </w:rPr>
        <w:t xml:space="preserve"> once there's a real pilot with a real corporate user and multiple agents. Explicitly out of scope for a single-user demo, necessary beyond it.</w:t>
      </w:r>
    </w:p>
    <w:p>
      <w:pPr>
        <w:pStyle w:val="Heading2"/>
        <w:spacing w:after="120" w:before="300"/>
      </w:pPr>
      <w:r>
        <w:rPr>
          <w:b/>
          <w:bCs/>
          <w:color w:val="16181D"/>
          <w:sz w:val="24"/>
          <w:szCs w:val="24"/>
        </w:rPr>
        <w:t xml:space="preserve">Longer-term — post-pilot / AI Asset Manager horizon</w:t>
      </w:r>
    </w:p>
    <w:p>
      <w:pPr>
        <w:pStyle w:val="ListParagraph"/>
        <w:numPr>
          <w:ilvl w:val="0"/>
          <w:numId w:val="3"/>
        </w:numPr>
        <w:spacing w:after="120" w:line="270"/>
      </w:pPr>
      <w:r>
        <w:rPr>
          <w:b/>
          <w:bCs/>
          <w:color w:val="16181D"/>
          <w:sz w:val="21"/>
          <w:szCs w:val="21"/>
        </w:rPr>
        <w:t xml:space="preserve">Start building the real AI Context Foundation data model.</w:t>
      </w:r>
      <w:r>
        <w:rPr>
          <w:color w:val="16181D"/>
          <w:sz w:val="21"/>
          <w:szCs w:val="21"/>
        </w:rPr>
        <w:t xml:space="preserve"> Signals currently references what LeaseReel data would feed the foundation; the next step is standing up the actual property knowledge graph so future modules (vendor, maintenance, financial, capital planning intelligence) have somewhere to plug in.</w:t>
      </w:r>
    </w:p>
    <w:p>
      <w:pPr>
        <w:pStyle w:val="ListParagraph"/>
        <w:numPr>
          <w:ilvl w:val="0"/>
          <w:numId w:val="3"/>
        </w:numPr>
        <w:spacing w:after="120" w:line="270"/>
      </w:pPr>
      <w:r>
        <w:rPr>
          <w:b/>
          <w:bCs/>
          <w:color w:val="16181D"/>
          <w:sz w:val="21"/>
          <w:szCs w:val="21"/>
        </w:rPr>
        <w:t xml:space="preserve">Design the outcome-aligned billing mechanics</w:t>
      </w:r>
      <w:r>
        <w:rPr>
          <w:color w:val="16181D"/>
          <w:sz w:val="21"/>
          <w:szCs w:val="21"/>
        </w:rPr>
        <w:t xml:space="preserve"> — baseline capture, attribution logic, and dispute handling. This is flagged as unresolved in the use case doc and needs real design work distinct from the SaaS tiers, which are ready to sell as-is.</w:t>
      </w:r>
    </w:p>
    <w:p>
      <w:pPr>
        <w:pBdr>
          <w:top w:val="single" w:color="D9DEE5" w:sz="4" w:space="8"/>
        </w:pBdr>
        <w:spacing w:before="400"/>
      </w:pPr>
      <w:r>
        <w:rPr>
          <w:i/>
          <w:iCs/>
          <w:color w:val="5B6472"/>
          <w:sz w:val="16"/>
          <w:szCs w:val="16"/>
        </w:rPr>
        <w:t xml:space="preserve">LeaseReel + AI Asset Manager — Prototype Briefing · Prepared July 21, 2026</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8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2026-07-21T21:48:29.793Z</dcterms:created>
  <dcterms:modified xsi:type="dcterms:W3CDTF">2026-07-21T21:48:29.795Z</dcterms:modified>
</cp:coreProperties>
</file>

<file path=docProps/custom.xml><?xml version="1.0" encoding="utf-8"?>
<Properties xmlns="http://schemas.openxmlformats.org/officeDocument/2006/custom-properties" xmlns:vt="http://schemas.openxmlformats.org/officeDocument/2006/docPropsVTypes"/>
</file>