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60" w:before="0"/>
        <w:jc w:val="center"/>
      </w:pPr>
      <w:r>
        <w:rPr>
          <w:rFonts w:ascii="Arial" w:cs="Arial" w:eastAsia="Arial" w:hAnsi="Arial"/>
          <w:b/>
          <w:bCs/>
          <w:color w:val="1A3C4A"/>
          <w:sz w:val="64"/>
          <w:szCs w:val="64"/>
        </w:rPr>
        <w:t xml:space="preserve">LeaseReel™ + AI Asset Manager™</w:t>
      </w:r>
    </w:p>
    <w:p>
      <w:pPr>
        <w:spacing w:after="100" w:before="0"/>
        <w:jc w:val="center"/>
      </w:pPr>
      <w:r>
        <w:rPr>
          <w:rFonts w:ascii="Arial" w:cs="Arial" w:eastAsia="Arial" w:hAnsi="Arial"/>
          <w:i/>
          <w:iCs/>
          <w:color w:val="00B4D8"/>
          <w:sz w:val="32"/>
          <w:szCs w:val="32"/>
        </w:rPr>
        <w:t xml:space="preserve">Use Case Document  —  Working Draft v1</w:t>
      </w:r>
    </w:p>
    <w:p>
      <w:pPr>
        <w:pBdr>
          <w:bottom w:val="single" w:color="00B4D8" w:sz="6" w:space="1"/>
        </w:pBdr>
        <w:spacing w:after="140" w:before="140"/>
      </w:pPr>
      <w:r>
        <w:t xml:space="preserve"/>
      </w:r>
    </w:p>
    <w:p>
      <w:pPr>
        <w:spacing w:after="60" w:before="80"/>
        <w:jc w:val="center"/>
      </w:pPr>
      <w:r>
        <w:rPr>
          <w:rFonts w:ascii="Arial" w:cs="Arial" w:eastAsia="Arial" w:hAnsi="Arial"/>
          <w:color w:val="4A5568"/>
          <w:sz w:val="24"/>
          <w:szCs w:val="24"/>
        </w:rPr>
        <w:t xml:space="preserve">From Social Post to Owner Intelligence — The Complete Owner-Side Platform</w:t>
      </w:r>
    </w:p>
    <w:p>
      <w:pPr>
        <w:spacing w:after="40" w:before="0"/>
        <w:jc w:val="center"/>
      </w:pPr>
      <w:r>
        <w:rPr>
          <w:rFonts w:ascii="Arial" w:cs="Arial" w:eastAsia="Arial" w:hAnsi="Arial"/>
          <w:i/>
          <w:iCs/>
          <w:color w:val="C0392B"/>
          <w:sz w:val="18"/>
          <w:szCs w:val="18"/>
        </w:rPr>
        <w:t xml:space="preserve">June 2026  |  Confidential — Subject to confirmation post-alignment call</w:t>
      </w:r>
    </w:p>
    <w:p>
      <w:pPr>
        <w:spacing w:after="3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CD" w:val="clear"/>
            <w:tcMar>
              <w:top w:type="dxa" w:w="200"/>
              <w:left w:type="dxa" w:w="280"/>
              <w:bottom w:type="dxa" w:w="200"/>
              <w:right w:type="dxa" w:w="280"/>
            </w:tcMar>
          </w:tcPr>
          <w:p>
            <w:pPr>
              <w:spacing w:after="60" w:before="60"/>
            </w:pPr>
            <w:r>
              <w:rPr>
                <w:rFonts w:ascii="Arial" w:cs="Arial" w:eastAsia="Arial" w:hAnsi="Arial"/>
                <w:b/>
                <w:bCs/>
                <w:color w:val="C0392B"/>
                <w:sz w:val="22"/>
                <w:szCs w:val="22"/>
              </w:rPr>
              <w:t xml:space="preserve">NOTE: Working Draft Status</w:t>
            </w:r>
          </w:p>
          <w:p>
            <w:pPr>
              <w:spacing w:after="100" w:before="60"/>
              <w:jc w:val="left"/>
            </w:pPr>
            <w:r>
              <w:rPr>
                <w:rFonts w:ascii="Arial" w:cs="Arial" w:eastAsia="Arial" w:hAnsi="Arial"/>
                <w:b w:val="false"/>
                <w:bCs w:val="false"/>
                <w:i w:val="false"/>
                <w:iCs w:val="false"/>
                <w:color w:val="1A1A2E"/>
                <w:sz w:val="22"/>
                <w:szCs w:val="22"/>
              </w:rPr>
              <w:t xml:space="preserve">This document reflects the most likely agreed scope based on inputs from James Kandasamy and Francisco Williams as of June 2026. Three items remain subject to explicit confirmation on the alignment call: (1) own-CRM vs. integration-first for the system of record, (2) outcome-aligned fee model structure, and (3) first pilot property selection. All other scope items are treated as directionally confirmed.</w:t>
            </w:r>
          </w:p>
        </w:tc>
      </w:tr>
    </w:tbl>
    <w:p>
      <w:pPr>
        <w:spacing w:after="200" w:before="0"/>
      </w:pPr>
      <w:r>
        <w:t xml:space="preserve"/>
      </w:r>
    </w:p>
    <w:p>
      <w:pPr>
        <w:pStyle w:val="Heading1"/>
        <w:spacing w:after="140" w:before="440"/>
      </w:pPr>
      <w:r>
        <w:rPr>
          <w:rFonts w:ascii="Arial" w:cs="Arial" w:eastAsia="Arial" w:hAnsi="Arial"/>
          <w:b/>
          <w:bCs/>
          <w:color w:val="1A3C4A"/>
          <w:sz w:val="36"/>
          <w:szCs w:val="36"/>
        </w:rPr>
        <w:t xml:space="preserve">1. The Problem We Are Solving</w:t>
      </w:r>
    </w:p>
    <w:p>
      <w:pPr>
        <w:pBdr>
          <w:bottom w:val="single" w:color="00B4D8" w:sz="6" w:space="1"/>
        </w:pBdr>
        <w:spacing w:after="140" w:before="140"/>
      </w:pPr>
      <w:r>
        <w:t xml:space="preserve"/>
      </w:r>
    </w:p>
    <w:p>
      <w:pPr>
        <w:pStyle w:val="Heading2"/>
        <w:spacing w:after="100" w:before="300"/>
      </w:pPr>
      <w:r>
        <w:rPr>
          <w:rFonts w:ascii="Arial" w:cs="Arial" w:eastAsia="Arial" w:hAnsi="Arial"/>
          <w:b/>
          <w:bCs/>
          <w:color w:val="1A3C4A"/>
          <w:sz w:val="26"/>
          <w:szCs w:val="26"/>
        </w:rPr>
        <w:t xml:space="preserve">1.1  The Owner Without an Asset Manager</w:t>
      </w:r>
    </w:p>
    <w:p>
      <w:pPr>
        <w:spacing w:after="100" w:before="60"/>
        <w:jc w:val="left"/>
      </w:pPr>
      <w:r>
        <w:rPr>
          <w:rFonts w:ascii="Arial" w:cs="Arial" w:eastAsia="Arial" w:hAnsi="Arial"/>
          <w:b w:val="false"/>
          <w:bCs w:val="false"/>
          <w:i w:val="false"/>
          <w:iCs w:val="false"/>
          <w:color w:val="1A1A2E"/>
          <w:sz w:val="22"/>
          <w:szCs w:val="22"/>
        </w:rPr>
        <w:t xml:space="preserve">There are approximately 16 million residential units in the United States — multifamily apartments and single-family rentals — owned by individuals and small operators who employ a property manager but have never had access to an asset manager.</w:t>
      </w:r>
    </w:p>
    <w:p>
      <w:pPr>
        <w:spacing w:after="100" w:before="60"/>
        <w:jc w:val="left"/>
      </w:pPr>
      <w:r>
        <w:rPr>
          <w:rFonts w:ascii="Arial" w:cs="Arial" w:eastAsia="Arial" w:hAnsi="Arial"/>
          <w:b w:val="false"/>
          <w:bCs w:val="false"/>
          <w:i w:val="false"/>
          <w:iCs w:val="false"/>
          <w:color w:val="1A1A2E"/>
          <w:sz w:val="22"/>
          <w:szCs w:val="22"/>
        </w:rPr>
        <w:t xml:space="preserve">The property manager handles day-to-day operations: maintenance, rent collection, tenant communication, compliance. That is what the management fee pays for.</w:t>
      </w:r>
    </w:p>
    <w:p>
      <w:pPr>
        <w:spacing w:after="100" w:before="60"/>
        <w:jc w:val="left"/>
      </w:pPr>
      <w:r>
        <w:rPr>
          <w:rFonts w:ascii="Arial" w:cs="Arial" w:eastAsia="Arial" w:hAnsi="Arial"/>
          <w:b w:val="false"/>
          <w:bCs w:val="false"/>
          <w:i w:val="false"/>
          <w:iCs w:val="false"/>
          <w:color w:val="1A1A2E"/>
          <w:sz w:val="22"/>
          <w:szCs w:val="22"/>
        </w:rPr>
        <w:t xml:space="preserve">No one is looking at the asset on the owner's behalf. No one is asking whether the rent is optimized, whether the vacancy is costing more than it should, whether the vendor is overcharging, whether a lease renewal is being mishandled, or whether the marketing spend is generating real leases.</w:t>
      </w:r>
    </w:p>
    <w:p>
      <w:pPr>
        <w:spacing w:after="100" w:before="60"/>
        <w:jc w:val="left"/>
      </w:pPr>
      <w:r>
        <w:rPr>
          <w:rFonts w:ascii="Arial" w:cs="Arial" w:eastAsia="Arial" w:hAnsi="Arial"/>
          <w:b w:val="false"/>
          <w:bCs w:val="false"/>
          <w:i w:val="false"/>
          <w:iCs w:val="false"/>
          <w:color w:val="1A1A2E"/>
          <w:sz w:val="22"/>
          <w:szCs w:val="22"/>
        </w:rPr>
        <w:t xml:space="preserve">The owner is flying blind. Not because the data doesn't exist — it does — but because no one has connected it, interpreted it, and acted on it for the owner.</w:t>
      </w:r>
    </w:p>
    <w:p>
      <w:pPr>
        <w:spacing w:after="100" w:before="0"/>
      </w:pPr>
      <w:r>
        <w:t xml:space="preserve"/>
      </w:r>
    </w:p>
    <w:p>
      <w:pPr>
        <w:pStyle w:val="Heading2"/>
        <w:spacing w:after="100" w:before="300"/>
      </w:pPr>
      <w:r>
        <w:rPr>
          <w:rFonts w:ascii="Arial" w:cs="Arial" w:eastAsia="Arial" w:hAnsi="Arial"/>
          <w:b/>
          <w:bCs/>
          <w:color w:val="1A3C4A"/>
          <w:sz w:val="26"/>
          <w:szCs w:val="26"/>
        </w:rPr>
        <w:t xml:space="preserve">1.2  The Leasing Problem That Starts It All</w:t>
      </w:r>
    </w:p>
    <w:p>
      <w:pPr>
        <w:spacing w:after="100" w:before="60"/>
        <w:jc w:val="left"/>
      </w:pPr>
      <w:r>
        <w:rPr>
          <w:rFonts w:ascii="Arial" w:cs="Arial" w:eastAsia="Arial" w:hAnsi="Arial"/>
          <w:b w:val="false"/>
          <w:bCs w:val="false"/>
          <w:i w:val="false"/>
          <w:iCs w:val="false"/>
          <w:color w:val="1A1A2E"/>
          <w:sz w:val="22"/>
          <w:szCs w:val="22"/>
        </w:rPr>
        <w:t xml:space="preserve">Before an owner can know whether a vacancy is being handled well, the leasing process itself has to be visible. And right now, for most small and mid-market owners, it isn't.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9" w:val="clear"/>
            <w:tcMar>
              <w:top w:type="dxa" w:w="200"/>
              <w:left w:type="dxa" w:w="280"/>
              <w:bottom w:type="dxa" w:w="200"/>
              <w:right w:type="dxa" w:w="280"/>
            </w:tcMar>
          </w:tcPr>
          <w:p>
            <w:pPr>
              <w:spacing w:after="80" w:before="200"/>
            </w:pPr>
            <w:r>
              <w:rPr>
                <w:rFonts w:ascii="Arial" w:cs="Arial" w:eastAsia="Arial" w:hAnsi="Arial"/>
                <w:b/>
                <w:bCs/>
                <w:color w:val="1A3C4A"/>
                <w:sz w:val="22"/>
                <w:szCs w:val="22"/>
              </w:rPr>
              <w:t xml:space="preserve">Three Specific Failures in the Current Leasing Process</w:t>
            </w:r>
          </w:p>
          <w:p>
            <w:pPr>
              <w:pStyle w:val="ListParagraph"/>
              <w:numPr>
                <w:ilvl w:val="0"/>
                <w:numId w:val="2"/>
              </w:numPr>
              <w:spacing w:after="50" w:before="50"/>
            </w:pPr>
            <w:r>
              <w:rPr>
                <w:rFonts w:ascii="Arial" w:cs="Arial" w:eastAsia="Arial" w:hAnsi="Arial"/>
                <w:b w:val="false"/>
                <w:bCs w:val="false"/>
                <w:color w:val="1A1A2E"/>
                <w:sz w:val="22"/>
                <w:szCs w:val="22"/>
              </w:rPr>
              <w:t xml:space="preserve">Agents have no time or skill to post consistently on social media — so posting stops when they get busy, and the property goes dark precisely when it needs to be most visible.</w:t>
            </w:r>
          </w:p>
          <w:p>
            <w:pPr>
              <w:pStyle w:val="ListParagraph"/>
              <w:numPr>
                <w:ilvl w:val="0"/>
                <w:numId w:val="2"/>
              </w:numPr>
              <w:spacing w:after="50" w:before="50"/>
            </w:pPr>
            <w:r>
              <w:rPr>
                <w:rFonts w:ascii="Arial" w:cs="Arial" w:eastAsia="Arial" w:hAnsi="Arial"/>
                <w:b w:val="false"/>
                <w:bCs w:val="false"/>
                <w:color w:val="1A1A2E"/>
                <w:sz w:val="22"/>
                <w:szCs w:val="22"/>
              </w:rPr>
              <w:t xml:space="preserve">Corporate and owners are blind — no view into what is being posted, no control over messaging, and real Fair Housing liability across dozens of individual agent accounts they cannot monitor.</w:t>
            </w:r>
          </w:p>
          <w:p>
            <w:pPr>
              <w:pStyle w:val="ListParagraph"/>
              <w:numPr>
                <w:ilvl w:val="0"/>
                <w:numId w:val="2"/>
              </w:numPr>
              <w:spacing w:after="50" w:before="50"/>
            </w:pPr>
            <w:r>
              <w:rPr>
                <w:rFonts w:ascii="Arial" w:cs="Arial" w:eastAsia="Arial" w:hAnsi="Arial"/>
                <w:b w:val="false"/>
                <w:bCs w:val="false"/>
                <w:color w:val="1A1A2E"/>
                <w:sz w:val="22"/>
                <w:szCs w:val="22"/>
              </w:rPr>
              <w:t xml:space="preserve">Leads leak — DMs, comments, and clicks from social platforms rarely reach the CRM. The owner is paying for marketing spend that generates interest that disappears before it becomes a lease.</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Renters now discover apartments on Instagram, TikTok, and Facebook — spending approximately four weeks and thirty touchpoints before they ever contact a leasing office. The first impression is social. Most operators are losing it entirely.</w:t>
      </w:r>
    </w:p>
    <w:p>
      <w:pPr>
        <w:spacing w:after="100" w:before="0"/>
      </w:pPr>
      <w:r>
        <w:t xml:space="preserve"/>
      </w:r>
    </w:p>
    <w:p>
      <w:pPr>
        <w:pStyle w:val="Heading1"/>
        <w:spacing w:after="140" w:before="440"/>
      </w:pPr>
      <w:r>
        <w:rPr>
          <w:rFonts w:ascii="Arial" w:cs="Arial" w:eastAsia="Arial" w:hAnsi="Arial"/>
          <w:b/>
          <w:bCs/>
          <w:color w:val="1A3C4A"/>
          <w:sz w:val="36"/>
          <w:szCs w:val="36"/>
        </w:rPr>
        <w:t xml:space="preserve">2. LeaseReel™ — The Social Leasing Engine</w:t>
      </w:r>
    </w:p>
    <w:p>
      <w:pPr>
        <w:pBdr>
          <w:bottom w:val="single" w:color="00B4D8" w:sz="6" w:space="1"/>
        </w:pBdr>
        <w:spacing w:after="140" w:before="140"/>
      </w:pPr>
      <w:r>
        <w:t xml:space="preserve"/>
      </w:r>
    </w:p>
    <w:p>
      <w:pPr>
        <w:pStyle w:val="Heading2"/>
        <w:spacing w:after="100" w:before="300"/>
      </w:pPr>
      <w:r>
        <w:rPr>
          <w:rFonts w:ascii="Arial" w:cs="Arial" w:eastAsia="Arial" w:hAnsi="Arial"/>
          <w:b/>
          <w:bCs/>
          <w:color w:val="1A3C4A"/>
          <w:sz w:val="26"/>
          <w:szCs w:val="26"/>
        </w:rPr>
        <w:t xml:space="preserve">2.1  What LeaseReel Is</w:t>
      </w:r>
    </w:p>
    <w:p>
      <w:pPr>
        <w:spacing w:after="100" w:before="60"/>
        <w:jc w:val="left"/>
      </w:pPr>
      <w:r>
        <w:rPr>
          <w:rFonts w:ascii="Arial" w:cs="Arial" w:eastAsia="Arial" w:hAnsi="Arial"/>
          <w:b w:val="false"/>
          <w:bCs w:val="false"/>
          <w:i w:val="false"/>
          <w:iCs w:val="false"/>
          <w:color w:val="1A1A2E"/>
          <w:sz w:val="22"/>
          <w:szCs w:val="22"/>
        </w:rPr>
        <w:t xml:space="preserve">LeaseReel is a workflow product that leasing agents use every day. It is not primarily a data or analytics tool — the intelligence it generates is the byproduct of a workflow that people actually want to use because it makes their job easier.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12"/>
              <w:bottom w:val="none" w:color="FFFFFF" w:sz="0"/>
              <w:right w:val="none" w:color="FFFFFF" w:sz="0"/>
            </w:tcBorders>
            <w:shd w:fill="F5F7F9" w:val="clear"/>
            <w:tcMar>
              <w:top w:type="dxa" w:w="160"/>
              <w:left w:type="dxa" w:w="280"/>
              <w:bottom w:type="dxa" w:w="160"/>
              <w:right w:type="dxa" w:w="200"/>
            </w:tcMar>
          </w:tcPr>
          <w:p>
            <w:pPr>
              <w:spacing w:after="80" w:before="200"/>
            </w:pPr>
            <w:r>
              <w:rPr>
                <w:rFonts w:ascii="Arial" w:cs="Arial" w:eastAsia="Arial" w:hAnsi="Arial"/>
                <w:b/>
                <w:bCs/>
                <w:color w:val="1A3C4A"/>
                <w:sz w:val="22"/>
                <w:szCs w:val="22"/>
              </w:rPr>
              <w:t xml:space="preserve">The LeaseReel Workflow — Five Steps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3C4A" w:val="clear"/>
            <w:tcMar>
              <w:top w:type="dxa" w:w="140"/>
              <w:left w:type="dxa" w:w="120"/>
              <w:bottom w:type="dxa" w:w="140"/>
              <w:right w:type="dxa" w:w="120"/>
            </w:tcMar>
            <w:vAlign w:val="center"/>
          </w:tcPr>
          <w:p>
            <w:pPr>
              <w:jc w:val="center"/>
            </w:pPr>
            <w:r>
              <w:rPr>
                <w:rFonts w:ascii="Arial" w:cs="Arial" w:eastAsia="Arial" w:hAnsi="Arial"/>
                <w:b/>
                <w:bCs/>
                <w:color w:val="FFFFFF"/>
                <w:sz w:val="32"/>
                <w:szCs w:val="32"/>
              </w:rPr>
              <w:t xml:space="preserve">1</w:t>
            </w:r>
          </w:p>
        </w:tc>
        <w:tc>
          <w:tcPr>
            <w:tcW w:type="dxa" w:w="8560"/>
            <w:tcBorders>
              <w:top w:val="none" w:color="FFFFFF" w:sz="0"/>
              <w:left w:val="none" w:color="FFFFFF" w:sz="0"/>
              <w:bottom w:val="none" w:color="FFFFFF" w:sz="0"/>
              <w:right w:val="none" w:color="FFFFFF" w:sz="0"/>
            </w:tcBorders>
            <w:shd w:fill="F5F7F9" w:val="clear"/>
            <w:tcMar>
              <w:top w:type="dxa" w:w="140"/>
              <w:left w:type="dxa" w:w="240"/>
              <w:bottom w:type="dxa" w:w="140"/>
              <w:right w:type="dxa" w:w="160"/>
            </w:tcMar>
          </w:tcPr>
          <w:p>
            <w:r>
              <w:rPr>
                <w:rFonts w:ascii="Arial" w:cs="Arial" w:eastAsia="Arial" w:hAnsi="Arial"/>
                <w:b/>
                <w:bCs/>
                <w:color w:val="1A3C4A"/>
                <w:sz w:val="22"/>
                <w:szCs w:val="22"/>
              </w:rPr>
              <w:t xml:space="preserve">Agent shoots a 15-second clip</w:t>
            </w:r>
          </w:p>
          <w:p>
            <w:pPr>
              <w:spacing w:before="40"/>
            </w:pPr>
            <w:r>
              <w:rPr>
                <w:rFonts w:ascii="Arial" w:cs="Arial" w:eastAsia="Arial" w:hAnsi="Arial"/>
                <w:color w:val="4A5568"/>
                <w:sz w:val="20"/>
                <w:szCs w:val="20"/>
              </w:rPr>
              <w:t xml:space="preserve">Any leasing agent, at any property, on their phone. No content skills required. No brand guidelines to memorize. No approval process to navigate.</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5276" w:val="clear"/>
            <w:tcMar>
              <w:top w:type="dxa" w:w="140"/>
              <w:left w:type="dxa" w:w="120"/>
              <w:bottom w:type="dxa" w:w="140"/>
              <w:right w:type="dxa" w:w="120"/>
            </w:tcMar>
            <w:vAlign w:val="center"/>
          </w:tcPr>
          <w:p>
            <w:pPr>
              <w:jc w:val="center"/>
            </w:pPr>
            <w:r>
              <w:rPr>
                <w:rFonts w:ascii="Arial" w:cs="Arial" w:eastAsia="Arial" w:hAnsi="Arial"/>
                <w:b/>
                <w:bCs/>
                <w:color w:val="FFFFFF"/>
                <w:sz w:val="32"/>
                <w:szCs w:val="32"/>
              </w:rPr>
              <w:t xml:space="preserve">2</w:t>
            </w:r>
          </w:p>
        </w:tc>
        <w:tc>
          <w:tcPr>
            <w:tcW w:type="dxa" w:w="8560"/>
            <w:tcBorders>
              <w:top w:val="none" w:color="FFFFFF" w:sz="0"/>
              <w:left w:val="none" w:color="FFFFFF" w:sz="0"/>
              <w:bottom w:val="none" w:color="FFFFFF" w:sz="0"/>
              <w:right w:val="none" w:color="FFFFFF" w:sz="0"/>
            </w:tcBorders>
            <w:shd w:fill="F5F7F9" w:val="clear"/>
            <w:tcMar>
              <w:top w:type="dxa" w:w="140"/>
              <w:left w:type="dxa" w:w="240"/>
              <w:bottom w:type="dxa" w:w="140"/>
              <w:right w:type="dxa" w:w="160"/>
            </w:tcMar>
          </w:tcPr>
          <w:p>
            <w:r>
              <w:rPr>
                <w:rFonts w:ascii="Arial" w:cs="Arial" w:eastAsia="Arial" w:hAnsi="Arial"/>
                <w:b/>
                <w:bCs/>
                <w:color w:val="1A3C4A"/>
                <w:sz w:val="22"/>
                <w:szCs w:val="22"/>
              </w:rPr>
              <w:t xml:space="preserve">AI generates an on-brand, Fair-Housing-screened post</w:t>
            </w:r>
          </w:p>
          <w:p>
            <w:pPr>
              <w:spacing w:before="40"/>
            </w:pPr>
            <w:r>
              <w:rPr>
                <w:rFonts w:ascii="Arial" w:cs="Arial" w:eastAsia="Arial" w:hAnsi="Arial"/>
                <w:color w:val="4A5568"/>
                <w:sz w:val="20"/>
                <w:szCs w:val="20"/>
              </w:rPr>
              <w:t xml:space="preserve">The content engine — powered by Higgsfield and Opus Clip, orchestrated behind our compliance layer — transforms the raw clip into a polished, on-brand post. Every post is automatically screened for Fair Housing compliance before it is published.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A6B4A" w:val="clear"/>
            <w:tcMar>
              <w:top w:type="dxa" w:w="140"/>
              <w:left w:type="dxa" w:w="120"/>
              <w:bottom w:type="dxa" w:w="140"/>
              <w:right w:type="dxa" w:w="120"/>
            </w:tcMar>
            <w:vAlign w:val="center"/>
          </w:tcPr>
          <w:p>
            <w:pPr>
              <w:jc w:val="center"/>
            </w:pPr>
            <w:r>
              <w:rPr>
                <w:rFonts w:ascii="Arial" w:cs="Arial" w:eastAsia="Arial" w:hAnsi="Arial"/>
                <w:b/>
                <w:bCs/>
                <w:color w:val="FFFFFF"/>
                <w:sz w:val="32"/>
                <w:szCs w:val="32"/>
              </w:rPr>
              <w:t xml:space="preserve">3</w:t>
            </w:r>
          </w:p>
        </w:tc>
        <w:tc>
          <w:tcPr>
            <w:tcW w:type="dxa" w:w="8560"/>
            <w:tcBorders>
              <w:top w:val="none" w:color="FFFFFF" w:sz="0"/>
              <w:left w:val="none" w:color="FFFFFF" w:sz="0"/>
              <w:bottom w:val="none" w:color="FFFFFF" w:sz="0"/>
              <w:right w:val="none" w:color="FFFFFF" w:sz="0"/>
            </w:tcBorders>
            <w:shd w:fill="F5F7F9" w:val="clear"/>
            <w:tcMar>
              <w:top w:type="dxa" w:w="140"/>
              <w:left w:type="dxa" w:w="240"/>
              <w:bottom w:type="dxa" w:w="140"/>
              <w:right w:type="dxa" w:w="160"/>
            </w:tcMar>
          </w:tcPr>
          <w:p>
            <w:r>
              <w:rPr>
                <w:rFonts w:ascii="Arial" w:cs="Arial" w:eastAsia="Arial" w:hAnsi="Arial"/>
                <w:b/>
                <w:bCs/>
                <w:color w:val="1A3C4A"/>
                <w:sz w:val="22"/>
                <w:szCs w:val="22"/>
              </w:rPr>
              <w:t xml:space="preserve">Post publishes to Instagram, TikTok, and Facebook</w:t>
            </w:r>
          </w:p>
          <w:p>
            <w:pPr>
              <w:spacing w:before="40"/>
            </w:pPr>
            <w:r>
              <w:rPr>
                <w:rFonts w:ascii="Arial" w:cs="Arial" w:eastAsia="Arial" w:hAnsi="Arial"/>
                <w:color w:val="4A5568"/>
                <w:sz w:val="20"/>
                <w:szCs w:val="20"/>
              </w:rPr>
              <w:t xml:space="preserve">Scheduled and published automatically across all three platforms. Corporate has approved the content layer once; every subsequent post flows through without requiring manual review unless a compliance flag is raised.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3483" w:val="clear"/>
            <w:tcMar>
              <w:top w:type="dxa" w:w="140"/>
              <w:left w:type="dxa" w:w="120"/>
              <w:bottom w:type="dxa" w:w="140"/>
              <w:right w:type="dxa" w:w="120"/>
            </w:tcMar>
            <w:vAlign w:val="center"/>
          </w:tcPr>
          <w:p>
            <w:pPr>
              <w:jc w:val="center"/>
            </w:pPr>
            <w:r>
              <w:rPr>
                <w:rFonts w:ascii="Arial" w:cs="Arial" w:eastAsia="Arial" w:hAnsi="Arial"/>
                <w:b/>
                <w:bCs/>
                <w:color w:val="FFFFFF"/>
                <w:sz w:val="32"/>
                <w:szCs w:val="32"/>
              </w:rPr>
              <w:t xml:space="preserve">4</w:t>
            </w:r>
          </w:p>
        </w:tc>
        <w:tc>
          <w:tcPr>
            <w:tcW w:type="dxa" w:w="8560"/>
            <w:tcBorders>
              <w:top w:val="none" w:color="FFFFFF" w:sz="0"/>
              <w:left w:val="none" w:color="FFFFFF" w:sz="0"/>
              <w:bottom w:val="none" w:color="FFFFFF" w:sz="0"/>
              <w:right w:val="none" w:color="FFFFFF" w:sz="0"/>
            </w:tcBorders>
            <w:shd w:fill="F5F7F9" w:val="clear"/>
            <w:tcMar>
              <w:top w:type="dxa" w:w="140"/>
              <w:left w:type="dxa" w:w="240"/>
              <w:bottom w:type="dxa" w:w="140"/>
              <w:right w:type="dxa" w:w="160"/>
            </w:tcMar>
          </w:tcPr>
          <w:p>
            <w:r>
              <w:rPr>
                <w:rFonts w:ascii="Arial" w:cs="Arial" w:eastAsia="Arial" w:hAnsi="Arial"/>
                <w:b/>
                <w:bCs/>
                <w:color w:val="1A3C4A"/>
                <w:sz w:val="22"/>
                <w:szCs w:val="22"/>
              </w:rPr>
              <w:t xml:space="preserve">Every lead routes into the CRM</w:t>
            </w:r>
          </w:p>
          <w:p>
            <w:pPr>
              <w:spacing w:before="40"/>
            </w:pPr>
            <w:r>
              <w:rPr>
                <w:rFonts w:ascii="Arial" w:cs="Arial" w:eastAsia="Arial" w:hAnsi="Arial"/>
                <w:color w:val="4A5568"/>
                <w:sz w:val="20"/>
                <w:szCs w:val="20"/>
              </w:rPr>
              <w:t xml:space="preserve">DMs, comments, link clicks, and form fills are captured and routed automatically into the leasing CRM. No lead leaks. Every social interaction becomes a trackable, manageable prospect.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C0392B" w:val="clear"/>
            <w:tcMar>
              <w:top w:type="dxa" w:w="140"/>
              <w:left w:type="dxa" w:w="120"/>
              <w:bottom w:type="dxa" w:w="140"/>
              <w:right w:type="dxa" w:w="120"/>
            </w:tcMar>
            <w:vAlign w:val="center"/>
          </w:tcPr>
          <w:p>
            <w:pPr>
              <w:jc w:val="center"/>
            </w:pPr>
            <w:r>
              <w:rPr>
                <w:rFonts w:ascii="Arial" w:cs="Arial" w:eastAsia="Arial" w:hAnsi="Arial"/>
                <w:b/>
                <w:bCs/>
                <w:color w:val="FFFFFF"/>
                <w:sz w:val="32"/>
                <w:szCs w:val="32"/>
              </w:rPr>
              <w:t xml:space="preserve">5</w:t>
            </w:r>
          </w:p>
        </w:tc>
        <w:tc>
          <w:tcPr>
            <w:tcW w:type="dxa" w:w="8560"/>
            <w:tcBorders>
              <w:top w:val="none" w:color="FFFFFF" w:sz="0"/>
              <w:left w:val="none" w:color="FFFFFF" w:sz="0"/>
              <w:bottom w:val="none" w:color="FFFFFF" w:sz="0"/>
              <w:right w:val="none" w:color="FFFFFF" w:sz="0"/>
            </w:tcBorders>
            <w:shd w:fill="F5F7F9" w:val="clear"/>
            <w:tcMar>
              <w:top w:type="dxa" w:w="140"/>
              <w:left w:type="dxa" w:w="240"/>
              <w:bottom w:type="dxa" w:w="140"/>
              <w:right w:type="dxa" w:w="160"/>
            </w:tcMar>
          </w:tcPr>
          <w:p>
            <w:r>
              <w:rPr>
                <w:rFonts w:ascii="Arial" w:cs="Arial" w:eastAsia="Arial" w:hAnsi="Arial"/>
                <w:b/>
                <w:bCs/>
                <w:color w:val="1A3C4A"/>
                <w:sz w:val="22"/>
                <w:szCs w:val="22"/>
              </w:rPr>
              <w:t xml:space="preserve">Corporate monitors compliance and performance portfolio-wide</w:t>
            </w:r>
          </w:p>
          <w:p>
            <w:pPr>
              <w:spacing w:before="40"/>
            </w:pPr>
            <w:r>
              <w:rPr>
                <w:rFonts w:ascii="Arial" w:cs="Arial" w:eastAsia="Arial" w:hAnsi="Arial"/>
                <w:color w:val="4A5568"/>
                <w:sz w:val="20"/>
                <w:szCs w:val="20"/>
              </w:rPr>
              <w:t xml:space="preserve">A single governance pane gives corporate and owners real-time visibility into what is being posted across every property, every agent, every platform — with Fair Housing audit trail included.</w:t>
            </w:r>
          </w:p>
        </w:tc>
      </w:tr>
    </w:tbl>
    <w:p>
      <w:pPr>
        <w:spacing w:after="100" w:before="0"/>
      </w:pPr>
      <w:r>
        <w:t xml:space="preserve"/>
      </w:r>
    </w:p>
    <w:p>
      <w:pPr>
        <w:pStyle w:val="Heading2"/>
        <w:spacing w:after="100" w:before="300"/>
      </w:pPr>
      <w:r>
        <w:rPr>
          <w:rFonts w:ascii="Arial" w:cs="Arial" w:eastAsia="Arial" w:hAnsi="Arial"/>
          <w:b/>
          <w:bCs/>
          <w:color w:val="1A3C4A"/>
          <w:sz w:val="26"/>
          <w:szCs w:val="26"/>
        </w:rPr>
        <w:t xml:space="preserve">2.2  What LeaseReel Is Built On — Buy vs. Build</w:t>
      </w:r>
    </w:p>
    <w:p>
      <w:pPr>
        <w:spacing w:after="100" w:before="60"/>
        <w:jc w:val="left"/>
      </w:pPr>
      <w:r>
        <w:rPr>
          <w:rFonts w:ascii="Arial" w:cs="Arial" w:eastAsia="Arial" w:hAnsi="Arial"/>
          <w:b w:val="false"/>
          <w:bCs w:val="false"/>
          <w:i w:val="false"/>
          <w:iCs w:val="false"/>
          <w:color w:val="1A1A2E"/>
          <w:sz w:val="22"/>
          <w:szCs w:val="22"/>
        </w:rPr>
        <w:t xml:space="preserve">A critical architectural decision underpins LeaseReel: we do not build the content engine. We buy it.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Capability</w:t>
            </w:r>
          </w:p>
        </w:tc>
        <w:tc>
          <w:tcPr>
            <w:tcW w:type="dxa" w:w="20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Approach</w:t>
            </w:r>
          </w:p>
        </w:tc>
        <w:tc>
          <w:tcPr>
            <w:tcW w:type="dxa" w:w="516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video content generation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BUY — Higgsfield, Opus Clip</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Both already generate on-brand social video at scale. Zero engineering spend on content generation; orchestrate behind our compliance layer.</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Social scheduling &amp; publishing</w:t>
            </w:r>
          </w:p>
        </w:tc>
        <w:tc>
          <w:tcPr>
            <w:tcW w:type="dxa" w:w="2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BUY — unified publishing API</w:t>
            </w:r>
          </w:p>
        </w:tc>
        <w:tc>
          <w:tcPr>
            <w:tcW w:type="dxa" w:w="5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Approvals already held. Our layer sits above it handling compliance and routing.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Fair Housing compliance screening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 core proprietary layer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No incumbent owns this. Generic schedulers (Hootsuite, Buffer, Later) cannot do Fair Housing screening. This is our open lane.</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Corporate governance dashboard</w:t>
            </w:r>
          </w:p>
        </w:tc>
        <w:tc>
          <w:tcPr>
            <w:tcW w:type="dxa" w:w="2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BUILD — core proprietary layer</w:t>
            </w:r>
          </w:p>
        </w:tc>
        <w:tc>
          <w:tcPr>
            <w:tcW w:type="dxa" w:w="5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Single-pane portfolio-wide oversight is the enterprise differentiator; must be owned.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capture &amp; CRM routing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 owned system of record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We build our own CRM and prospect database. Third-party CRM integration is secondary. The data must be ours.</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Prospect &amp; property database</w:t>
            </w:r>
          </w:p>
        </w:tc>
        <w:tc>
          <w:tcPr>
            <w:tcW w:type="dxa" w:w="2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BUILD — long-term data moat</w:t>
            </w:r>
          </w:p>
        </w:tc>
        <w:tc>
          <w:tcPr>
            <w:tcW w:type="dxa" w:w="5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Renter graph (which renters apply to which type of property, vintage, location, all-bills-paid status) is a compounding asset no competitor can replicate.</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This architecture means our engineering investment is entirely concentrated on the capabilities that cannot be bought: compliance, governance, the owned system of record, and the long-term data foundation. The content quality is already solved. The moat is built on what sits around it.</w:t>
      </w:r>
    </w:p>
    <w:p>
      <w:pPr>
        <w:spacing w:after="100" w:before="0"/>
      </w:pPr>
      <w:r>
        <w:t xml:space="preserve"/>
      </w:r>
    </w:p>
    <w:p>
      <w:pPr>
        <w:pStyle w:val="Heading2"/>
        <w:spacing w:after="100" w:before="300"/>
      </w:pPr>
      <w:r>
        <w:rPr>
          <w:rFonts w:ascii="Arial" w:cs="Arial" w:eastAsia="Arial" w:hAnsi="Arial"/>
          <w:b/>
          <w:bCs/>
          <w:color w:val="1A3C4A"/>
          <w:sz w:val="26"/>
          <w:szCs w:val="26"/>
        </w:rPr>
        <w:t xml:space="preserve">2.3  The Compliance Moat</w:t>
      </w:r>
    </w:p>
    <w:p>
      <w:pPr>
        <w:spacing w:after="100" w:before="60"/>
        <w:jc w:val="left"/>
      </w:pPr>
      <w:r>
        <w:rPr>
          <w:rFonts w:ascii="Arial" w:cs="Arial" w:eastAsia="Arial" w:hAnsi="Arial"/>
          <w:b w:val="false"/>
          <w:bCs w:val="false"/>
          <w:i w:val="false"/>
          <w:iCs w:val="false"/>
          <w:color w:val="1A1A2E"/>
          <w:sz w:val="22"/>
          <w:szCs w:val="22"/>
        </w:rPr>
        <w:t xml:space="preserve">Fair Housing compliance is not a feature — it is the reason LeaseReel can exist at enterprise scale where generic tools cannot.</w:t>
      </w:r>
    </w:p>
    <w:p>
      <w:pPr>
        <w:spacing w:after="100" w:before="60"/>
        <w:jc w:val="left"/>
      </w:pPr>
      <w:r>
        <w:rPr>
          <w:rFonts w:ascii="Arial" w:cs="Arial" w:eastAsia="Arial" w:hAnsi="Arial"/>
          <w:b w:val="false"/>
          <w:bCs w:val="false"/>
          <w:i w:val="false"/>
          <w:iCs w:val="false"/>
          <w:color w:val="1A1A2E"/>
          <w:sz w:val="22"/>
          <w:szCs w:val="22"/>
        </w:rPr>
        <w:t xml:space="preserve">Every post published through LeaseReel is screened before it goes live. Every post carries an audit trail. Corporate has a single point of visibility and control across every agent account at every property.</w:t>
      </w:r>
    </w:p>
    <w:p>
      <w:pPr>
        <w:spacing w:after="100" w:before="60"/>
        <w:jc w:val="left"/>
      </w:pPr>
      <w:r>
        <w:rPr>
          <w:rFonts w:ascii="Arial" w:cs="Arial" w:eastAsia="Arial" w:hAnsi="Arial"/>
          <w:b w:val="false"/>
          <w:bCs w:val="false"/>
          <w:i w:val="false"/>
          <w:iCs w:val="false"/>
          <w:color w:val="1A1A2E"/>
          <w:sz w:val="22"/>
          <w:szCs w:val="22"/>
        </w:rPr>
        <w:t xml:space="preserve">This is the open lane. Respage, RealPage, Funnel, EliseAI, and Yardi own chatbot, SEO, and review management. None of them own agent-driven social content with embedded Fair Housing governance. Hootsuite and Buffer can schedule; they cannot govern.</w:t>
      </w:r>
    </w:p>
    <w:p>
      <w:pPr>
        <w:spacing w:after="100" w:before="0"/>
      </w:pPr>
      <w:r>
        <w:t xml:space="preserve"/>
      </w:r>
    </w:p>
    <w:p>
      <w:pPr>
        <w:pStyle w:val="Heading2"/>
        <w:spacing w:after="100" w:before="300"/>
      </w:pPr>
      <w:r>
        <w:rPr>
          <w:rFonts w:ascii="Arial" w:cs="Arial" w:eastAsia="Arial" w:hAnsi="Arial"/>
          <w:b/>
          <w:bCs/>
          <w:color w:val="1A3C4A"/>
          <w:sz w:val="26"/>
          <w:szCs w:val="26"/>
        </w:rPr>
        <w:t xml:space="preserve">2.4  How We Know LeaseReel Has Won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12"/>
              <w:bottom w:val="none" w:color="FFFFFF" w:sz="0"/>
              <w:right w:val="none" w:color="FFFFFF" w:sz="0"/>
            </w:tcBorders>
            <w:shd w:fill="F5F7F9" w:val="clear"/>
            <w:tcMar>
              <w:top w:type="dxa" w:w="160"/>
              <w:left w:type="dxa" w:w="280"/>
              <w:bottom w:type="dxa" w:w="160"/>
              <w:right w:type="dxa" w:w="200"/>
            </w:tcMar>
          </w:tcPr>
          <w:p>
            <w:pPr>
              <w:spacing w:after="80" w:before="200"/>
            </w:pPr>
            <w:r>
              <w:rPr>
                <w:rFonts w:ascii="Arial" w:cs="Arial" w:eastAsia="Arial" w:hAnsi="Arial"/>
                <w:b/>
                <w:bCs/>
                <w:color w:val="1A3C4A"/>
                <w:sz w:val="22"/>
                <w:szCs w:val="22"/>
              </w:rPr>
              <w:t xml:space="preserve">Definition of Success — 90-Day Bar</w:t>
            </w:r>
          </w:p>
          <w:p>
            <w:pPr>
              <w:spacing w:after="100" w:before="60"/>
              <w:jc w:val="left"/>
            </w:pPr>
            <w:r>
              <w:rPr>
                <w:rFonts w:ascii="Arial" w:cs="Arial" w:eastAsia="Arial" w:hAnsi="Arial"/>
                <w:b w:val="false"/>
                <w:bCs w:val="false"/>
                <w:i w:val="false"/>
                <w:iCs w:val="false"/>
                <w:color w:val="1A1A2E"/>
                <w:sz w:val="22"/>
                <w:szCs w:val="22"/>
              </w:rPr>
              <w:t xml:space="preserve">Pilot properties beat their own 90-day pre-pilot baseline AND a set of lookalike control properties on three metrics:</w:t>
            </w:r>
          </w:p>
          <w:p>
            <w:pPr>
              <w:pStyle w:val="ListParagraph"/>
              <w:numPr>
                <w:ilvl w:val="0"/>
                <w:numId w:val="2"/>
              </w:numPr>
              <w:spacing w:after="50" w:before="50"/>
            </w:pPr>
            <w:r>
              <w:rPr>
                <w:rFonts w:ascii="Arial" w:cs="Arial" w:eastAsia="Arial" w:hAnsi="Arial"/>
                <w:b w:val="false"/>
                <w:bCs w:val="false"/>
                <w:color w:val="1A1A2E"/>
                <w:sz w:val="22"/>
                <w:szCs w:val="22"/>
              </w:rPr>
              <w:t xml:space="preserve">Social-attributed leases per vacant unit — more leases sourced from social than before</w:t>
            </w:r>
          </w:p>
          <w:p>
            <w:pPr>
              <w:pStyle w:val="ListParagraph"/>
              <w:numPr>
                <w:ilvl w:val="0"/>
                <w:numId w:val="2"/>
              </w:numPr>
              <w:spacing w:after="50" w:before="50"/>
            </w:pPr>
            <w:r>
              <w:rPr>
                <w:rFonts w:ascii="Arial" w:cs="Arial" w:eastAsia="Arial" w:hAnsi="Arial"/>
                <w:b w:val="false"/>
                <w:bCs w:val="false"/>
                <w:color w:val="1A1A2E"/>
                <w:sz w:val="22"/>
                <w:szCs w:val="22"/>
              </w:rPr>
              <w:t xml:space="preserve">Cost-per-lease from social — at or below cost-per-lease from other paid sources (Zillow, Apartments.com, Google PPC, referral)</w:t>
            </w:r>
          </w:p>
          <w:p>
            <w:pPr>
              <w:pStyle w:val="ListParagraph"/>
              <w:numPr>
                <w:ilvl w:val="0"/>
                <w:numId w:val="2"/>
              </w:numPr>
              <w:spacing w:after="50" w:before="50"/>
            </w:pPr>
            <w:r>
              <w:rPr>
                <w:rFonts w:ascii="Arial" w:cs="Arial" w:eastAsia="Arial" w:hAnsi="Arial"/>
                <w:b w:val="false"/>
                <w:bCs w:val="false"/>
                <w:color w:val="1A1A2E"/>
                <w:sz w:val="22"/>
                <w:szCs w:val="22"/>
              </w:rPr>
              <w:t xml:space="preserve">Lead-to-lease conversion rate — social leads convert to signed leases at a rate comparable to or better than other sources</w:t>
            </w:r>
          </w:p>
          <w:p>
            <w:pPr>
              <w:spacing w:after="100" w:before="0"/>
            </w:pPr>
            <w:r>
              <w:t xml:space="preserve"/>
            </w:r>
          </w:p>
          <w:p>
            <w:pPr>
              <w:spacing w:after="100" w:before="60"/>
              <w:jc w:val="left"/>
            </w:pPr>
            <w:r>
              <w:rPr>
                <w:rFonts w:ascii="Arial" w:cs="Arial" w:eastAsia="Arial" w:hAnsi="Arial"/>
                <w:b/>
                <w:bCs/>
                <w:i w:val="false"/>
                <w:iCs w:val="false"/>
                <w:color w:val="1A1A2E"/>
                <w:sz w:val="22"/>
                <w:szCs w:val="22"/>
              </w:rPr>
              <w:t xml:space="preserve">If one leasing team is delighted and the leads are real — everything else is expansion.</w:t>
            </w:r>
          </w:p>
        </w:tc>
      </w:tr>
    </w:tbl>
    <w:p>
      <w:pPr>
        <w:spacing w:after="200" w:before="0"/>
      </w:pPr>
      <w:r>
        <w:t xml:space="preserve"/>
      </w:r>
    </w:p>
    <w:p>
      <w:pPr>
        <w:pStyle w:val="Heading1"/>
        <w:spacing w:after="140" w:before="440"/>
      </w:pPr>
      <w:r>
        <w:rPr>
          <w:rFonts w:ascii="Arial" w:cs="Arial" w:eastAsia="Arial" w:hAnsi="Arial"/>
          <w:b/>
          <w:bCs/>
          <w:color w:val="1A3C4A"/>
          <w:sz w:val="36"/>
          <w:szCs w:val="36"/>
        </w:rPr>
        <w:t xml:space="preserve">3. AI Asset Manager™ — The Owner-Side Intelligence Platform</w:t>
      </w:r>
    </w:p>
    <w:p>
      <w:pPr>
        <w:pBdr>
          <w:bottom w:val="single" w:color="00B4D8" w:sz="6" w:space="1"/>
        </w:pBdr>
        <w:spacing w:after="140" w:before="140"/>
      </w:pPr>
      <w:r>
        <w:t xml:space="preserve"/>
      </w:r>
    </w:p>
    <w:p>
      <w:pPr>
        <w:pStyle w:val="Heading2"/>
        <w:spacing w:after="100" w:before="300"/>
      </w:pPr>
      <w:r>
        <w:rPr>
          <w:rFonts w:ascii="Arial" w:cs="Arial" w:eastAsia="Arial" w:hAnsi="Arial"/>
          <w:b/>
          <w:bCs/>
          <w:color w:val="1A3C4A"/>
          <w:sz w:val="26"/>
          <w:szCs w:val="26"/>
        </w:rPr>
        <w:t xml:space="preserve">3.1  The Architecture: AM with PM, Not Above PM</w:t>
      </w:r>
    </w:p>
    <w:p>
      <w:pPr>
        <w:spacing w:after="100" w:before="60"/>
        <w:jc w:val="left"/>
      </w:pPr>
      <w:r>
        <w:rPr>
          <w:rFonts w:ascii="Arial" w:cs="Arial" w:eastAsia="Arial" w:hAnsi="Arial"/>
          <w:b w:val="false"/>
          <w:bCs w:val="false"/>
          <w:i w:val="false"/>
          <w:iCs w:val="false"/>
          <w:color w:val="1A1A2E"/>
          <w:sz w:val="22"/>
          <w:szCs w:val="22"/>
        </w:rPr>
        <w:t xml:space="preserve">The AI Asset Manager does not sit above property management as an oversight layer. It works alongside the property manager — connecting the day-to-day operational execution at the property to the financial outcomes the owner cares about.</w:t>
      </w:r>
    </w:p>
    <w:p>
      <w:pPr>
        <w:spacing w:after="100" w:before="60"/>
        <w:jc w:val="left"/>
      </w:pPr>
      <w:r>
        <w:rPr>
          <w:rFonts w:ascii="Arial" w:cs="Arial" w:eastAsia="Arial" w:hAnsi="Arial"/>
          <w:b w:val="false"/>
          <w:bCs w:val="false"/>
          <w:i w:val="false"/>
          <w:iCs w:val="false"/>
          <w:color w:val="1A1A2E"/>
          <w:sz w:val="22"/>
          <w:szCs w:val="22"/>
        </w:rPr>
        <w:t xml:space="preserve">This distinction matters in practice. When an owner has no operational standing and the property manager is underperforming, a confrontation replaces a correction. The AI Asset Manager changes this dynamic: it gives the owner the intelligence and the standing to have a productive conversation with the PM — not an adversarial one.</w:t>
      </w:r>
    </w:p>
    <w:p>
      <w:pPr>
        <w:spacing w:after="100" w:before="60"/>
        <w:jc w:val="left"/>
      </w:pPr>
      <w:r>
        <w:rPr>
          <w:rFonts w:ascii="Arial" w:cs="Arial" w:eastAsia="Arial" w:hAnsi="Arial"/>
          <w:b w:val="false"/>
          <w:bCs w:val="false"/>
          <w:i w:val="false"/>
          <w:iCs w:val="false"/>
          <w:color w:val="1A1A2E"/>
          <w:sz w:val="22"/>
          <w:szCs w:val="22"/>
        </w:rPr>
        <w:t xml:space="preserve">The property manager keeps the operating fee and sheds the strategic work no management fee ever paid them to do. The owner gains the oversight capability of an institutional asset manager without the cost of 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9" w:val="clear"/>
            <w:tcMar>
              <w:top w:type="dxa" w:w="200"/>
              <w:left w:type="dxa" w:w="280"/>
              <w:bottom w:type="dxa" w:w="200"/>
              <w:right w:type="dxa" w:w="280"/>
            </w:tcMar>
          </w:tcPr>
          <w:p>
            <w:pPr>
              <w:spacing w:after="80" w:before="200"/>
            </w:pPr>
            <w:r>
              <w:rPr>
                <w:rFonts w:ascii="Arial" w:cs="Arial" w:eastAsia="Arial" w:hAnsi="Arial"/>
                <w:b/>
                <w:bCs/>
                <w:color w:val="1A3C4A"/>
                <w:sz w:val="22"/>
                <w:szCs w:val="22"/>
              </w:rPr>
              <w:t xml:space="preserve">What AM with PM Looks Like in Practice</w:t>
            </w:r>
          </w:p>
          <w:p>
            <w:pPr>
              <w:pStyle w:val="ListParagraph"/>
              <w:numPr>
                <w:ilvl w:val="0"/>
                <w:numId w:val="2"/>
              </w:numPr>
              <w:spacing w:after="50" w:before="50"/>
            </w:pPr>
            <w:r>
              <w:rPr>
                <w:rFonts w:ascii="Arial" w:cs="Arial" w:eastAsia="Arial" w:hAnsi="Arial"/>
                <w:b w:val="false"/>
                <w:bCs w:val="false"/>
                <w:color w:val="1A1A2E"/>
                <w:sz w:val="22"/>
                <w:szCs w:val="22"/>
              </w:rPr>
              <w:t xml:space="preserve">The PM handles daily operations. The AI Asset Manager monitors outcomes and surfaces signals the PM may not be tracking.</w:t>
            </w:r>
          </w:p>
          <w:p>
            <w:pPr>
              <w:pStyle w:val="ListParagraph"/>
              <w:numPr>
                <w:ilvl w:val="0"/>
                <w:numId w:val="2"/>
              </w:numPr>
              <w:spacing w:after="50" w:before="50"/>
            </w:pPr>
            <w:r>
              <w:rPr>
                <w:rFonts w:ascii="Arial" w:cs="Arial" w:eastAsia="Arial" w:hAnsi="Arial"/>
                <w:b w:val="false"/>
                <w:bCs w:val="false"/>
                <w:color w:val="1A1A2E"/>
                <w:sz w:val="22"/>
                <w:szCs w:val="22"/>
              </w:rPr>
              <w:t xml:space="preserve">When a vendor invoice runs 28% above market benchmark, the AI Asset Manager flags it to the owner with context — not as a confrontation with the PM, but as an informed question: should we rebid?</w:t>
            </w:r>
          </w:p>
          <w:p>
            <w:pPr>
              <w:pStyle w:val="ListParagraph"/>
              <w:numPr>
                <w:ilvl w:val="0"/>
                <w:numId w:val="2"/>
              </w:numPr>
              <w:spacing w:after="50" w:before="50"/>
            </w:pPr>
            <w:r>
              <w:rPr>
                <w:rFonts w:ascii="Arial" w:cs="Arial" w:eastAsia="Arial" w:hAnsi="Arial"/>
                <w:b w:val="false"/>
                <w:bCs w:val="false"/>
                <w:color w:val="1A1A2E"/>
                <w:sz w:val="22"/>
                <w:szCs w:val="22"/>
              </w:rPr>
              <w:t xml:space="preserve">When a lease renewal is 90 days out and the PM hasn't initiated contact, the AI Asset Manager surfaces the risk to the owner with the renewal probability model and a recommended action.</w:t>
            </w:r>
          </w:p>
          <w:p>
            <w:pPr>
              <w:pStyle w:val="ListParagraph"/>
              <w:numPr>
                <w:ilvl w:val="0"/>
                <w:numId w:val="2"/>
              </w:numPr>
              <w:spacing w:after="50" w:before="50"/>
            </w:pPr>
            <w:r>
              <w:rPr>
                <w:rFonts w:ascii="Arial" w:cs="Arial" w:eastAsia="Arial" w:hAnsi="Arial"/>
                <w:b w:val="false"/>
                <w:bCs w:val="false"/>
                <w:color w:val="1A1A2E"/>
                <w:sz w:val="22"/>
                <w:szCs w:val="22"/>
              </w:rPr>
              <w:t xml:space="preserve">The PM is a partner in the system, not a passive data source. Their performance is visible, their work is supported, and their relationship with the owner improves when the AI Asset Manager is present.</w:t>
            </w:r>
          </w:p>
        </w:tc>
      </w:tr>
    </w:tbl>
    <w:p>
      <w:pPr>
        <w:spacing w:after="100" w:before="0"/>
      </w:pPr>
      <w:r>
        <w:t xml:space="preserve"/>
      </w:r>
    </w:p>
    <w:p>
      <w:pPr>
        <w:pStyle w:val="Heading2"/>
        <w:spacing w:after="100" w:before="300"/>
      </w:pPr>
      <w:r>
        <w:rPr>
          <w:rFonts w:ascii="Arial" w:cs="Arial" w:eastAsia="Arial" w:hAnsi="Arial"/>
          <w:b/>
          <w:bCs/>
          <w:color w:val="1A3C4A"/>
          <w:sz w:val="26"/>
          <w:szCs w:val="26"/>
        </w:rPr>
        <w:t xml:space="preserve">3.2  The Five-Layer Architecture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560"/>
        <w:gridCol w:w="2200"/>
      </w:tblGrid>
      <w:tr>
        <w:trPr>
          <w:tblHeader/>
        </w:trPr>
        <w:tc>
          <w:tcPr>
            <w:tcW w:type="dxa" w:w="6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Systems of Record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PMS, accounting, leasing, CRM, maintenance, vendor management — record operational events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Existing (integrate or own)</w:t>
            </w:r>
          </w:p>
        </w:tc>
      </w:tr>
      <w:tr>
        <w:tc>
          <w:tcPr>
            <w:tcW w:type="dxa" w:w="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2</w:t>
            </w:r>
          </w:p>
        </w:tc>
        <w:tc>
          <w:tcPr>
            <w:tcW w:type="dxa" w:w="2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Market Intelligence</w:t>
            </w:r>
          </w:p>
        </w:tc>
        <w:tc>
          <w:tcPr>
            <w:tcW w:type="dxa" w:w="4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Market rents, vacancy benchmarks, cap rates, absorption rates, comparable transactions</w:t>
            </w:r>
          </w:p>
        </w:tc>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Existing (buy feeds)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Context Foundation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Continuously builds living property knowledge graphs — every event understood in relation to every other 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(core IP)</w:t>
            </w:r>
          </w:p>
        </w:tc>
      </w:tr>
      <w:tr>
        <w:tc>
          <w:tcPr>
            <w:tcW w:type="dxa" w:w="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4</w:t>
            </w:r>
          </w:p>
        </w:tc>
        <w:tc>
          <w:tcPr>
            <w:tcW w:type="dxa" w:w="2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AI Intelligence Engine</w:t>
            </w:r>
          </w:p>
        </w:tc>
        <w:tc>
          <w:tcPr>
            <w:tcW w:type="dxa" w:w="4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Reasons across every asset — identifies NOI leakage, vendor anomalies, renewal risks, vacancy exposure, capital signals</w:t>
            </w:r>
          </w:p>
        </w:tc>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Build (core IP)</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Asset Management Operating Layer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Co-pilot for the owner — recommends actions, executes within delegated authority, monitors outcomes, learns continuously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Build (core IP)</w:t>
            </w:r>
          </w:p>
        </w:tc>
      </w:tr>
    </w:tbl>
    <w:p>
      <w:pPr>
        <w:spacing w:after="100" w:before="0"/>
      </w:pPr>
      <w:r>
        <w:t xml:space="preserve"/>
      </w:r>
    </w:p>
    <w:p>
      <w:pPr>
        <w:pStyle w:val="Heading2"/>
        <w:spacing w:after="100" w:before="300"/>
      </w:pPr>
      <w:r>
        <w:rPr>
          <w:rFonts w:ascii="Arial" w:cs="Arial" w:eastAsia="Arial" w:hAnsi="Arial"/>
          <w:b/>
          <w:bCs/>
          <w:color w:val="1A3C4A"/>
          <w:sz w:val="26"/>
          <w:szCs w:val="26"/>
        </w:rPr>
        <w:t xml:space="preserve">3.3  LeaseReel as the First Intelligence Module</w:t>
      </w:r>
    </w:p>
    <w:p>
      <w:pPr>
        <w:spacing w:after="100" w:before="60"/>
        <w:jc w:val="left"/>
      </w:pPr>
      <w:r>
        <w:rPr>
          <w:rFonts w:ascii="Arial" w:cs="Arial" w:eastAsia="Arial" w:hAnsi="Arial"/>
          <w:b w:val="false"/>
          <w:bCs w:val="false"/>
          <w:i w:val="false"/>
          <w:iCs w:val="false"/>
          <w:color w:val="1A1A2E"/>
          <w:sz w:val="22"/>
          <w:szCs w:val="22"/>
        </w:rPr>
        <w:t xml:space="preserve">LeaseReel is the wedge into the AI Asset Manager platform — but it is more than a customer acquisition strategy. It is the first intelligence module that begins populating the AI Context Foundation.</w:t>
      </w:r>
    </w:p>
    <w:p>
      <w:pPr>
        <w:spacing w:after="100" w:before="60"/>
        <w:jc w:val="left"/>
      </w:pPr>
      <w:r>
        <w:rPr>
          <w:rFonts w:ascii="Arial" w:cs="Arial" w:eastAsia="Arial" w:hAnsi="Arial"/>
          <w:b w:val="false"/>
          <w:bCs w:val="false"/>
          <w:i w:val="false"/>
          <w:iCs w:val="false"/>
          <w:color w:val="1A1A2E"/>
          <w:sz w:val="22"/>
          <w:szCs w:val="22"/>
        </w:rPr>
        <w:t xml:space="preserve">Every lead captured, every campaign tracked, every conversion measured by LeaseReel becomes a data input into the property knowledge graph. The leasing and marketing intelligence layer — historically disconnected from asset management — becomes connected from day 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LeaseReel Data</w:t>
            </w:r>
          </w:p>
        </w:tc>
        <w:tc>
          <w:tcPr>
            <w:tcW w:type="dxa" w:w="576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What It Feeds in the AI Context Foundation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Social engagement by platform and property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Marketing effectiveness signal per asset</w:t>
            </w:r>
          </w:p>
        </w:tc>
      </w:tr>
      <w:tr>
        <w:tc>
          <w:tcPr>
            <w:tcW w:type="dxa" w:w="3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Lead generation by source and campaign</w:t>
            </w:r>
          </w:p>
        </w:tc>
        <w:tc>
          <w:tcPr>
            <w:tcW w:type="dxa" w:w="5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Cost-per-lead and channel ROI at property level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Lead-to-tour and tour-to-lease conversion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Leasing team performance and product-market fit signal</w:t>
            </w:r>
          </w:p>
        </w:tc>
      </w:tr>
      <w:tr>
        <w:tc>
          <w:tcPr>
            <w:tcW w:type="dxa" w:w="3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Time-on-market per vacant unit</w:t>
            </w:r>
          </w:p>
        </w:tc>
        <w:tc>
          <w:tcPr>
            <w:tcW w:type="dxa" w:w="5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Vacancy risk indicator feeding renewal and pricing models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CRM prospect history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Renter graph — who applies to what type of property, where, at what price point</w:t>
            </w:r>
          </w:p>
        </w:tc>
      </w:tr>
      <w:tr>
        <w:tc>
          <w:tcPr>
            <w:tcW w:type="dxa" w:w="36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Campaign spend vs. lease outcomes</w:t>
            </w:r>
          </w:p>
        </w:tc>
        <w:tc>
          <w:tcPr>
            <w:tcW w:type="dxa" w:w="57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Marketing ROI input to NOI optimization model</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Future intelligence modules that enrich the same foundation: Vendor Intelligence, Maintenance Intelligence, Financial Intelligence, Procurement Intelligence, Capital Planning Intelligence, Property Manager Performance Intelligence.</w:t>
      </w:r>
    </w:p>
    <w:p>
      <w:pPr>
        <w:spacing w:after="100" w:before="0"/>
      </w:pPr>
      <w:r>
        <w:t xml:space="preserve"/>
      </w:r>
    </w:p>
    <w:p>
      <w:pPr>
        <w:pStyle w:val="Heading2"/>
        <w:spacing w:after="100" w:before="300"/>
      </w:pPr>
      <w:r>
        <w:rPr>
          <w:rFonts w:ascii="Arial" w:cs="Arial" w:eastAsia="Arial" w:hAnsi="Arial"/>
          <w:b/>
          <w:bCs/>
          <w:color w:val="1A3C4A"/>
          <w:sz w:val="26"/>
          <w:szCs w:val="26"/>
        </w:rPr>
        <w:t xml:space="preserve">3.4  What the AI Asset Manager Does for the Owner</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none" w:color="FFFFFF" w:sz="0"/>
              <w:left w:val="none" w:color="FFFFFF" w:sz="0"/>
              <w:bottom w:val="none" w:color="FFFFFF" w:sz="0"/>
              <w:right w:val="none" w:color="FFFFFF" w:sz="0"/>
            </w:tcBorders>
            <w:tcMar>
              <w:top w:type="dxa" w:w="80"/>
              <w:left w:type="dxa" w:w="0"/>
              <w:bottom w:type="dxa" w:w="80"/>
              <w:right w:type="dxa" w:w="200"/>
            </w:tcMar>
          </w:tcPr>
          <w:p>
            <w:pPr>
              <w:spacing w:after="80" w:before="200"/>
            </w:pPr>
            <w:r>
              <w:rPr>
                <w:rFonts w:ascii="Arial" w:cs="Arial" w:eastAsia="Arial" w:hAnsi="Arial"/>
                <w:b/>
                <w:bCs/>
                <w:color w:val="1A6B4A"/>
                <w:sz w:val="22"/>
                <w:szCs w:val="22"/>
              </w:rPr>
              <w:t xml:space="preserve">It Recommends</w:t>
            </w:r>
          </w:p>
          <w:p>
            <w:pPr>
              <w:pStyle w:val="ListParagraph"/>
              <w:numPr>
                <w:ilvl w:val="0"/>
                <w:numId w:val="2"/>
              </w:numPr>
              <w:spacing w:after="50" w:before="50"/>
            </w:pPr>
            <w:r>
              <w:rPr>
                <w:rFonts w:ascii="Arial" w:cs="Arial" w:eastAsia="Arial" w:hAnsi="Arial"/>
                <w:b w:val="false"/>
                <w:bCs w:val="false"/>
                <w:color w:val="1A1A2E"/>
                <w:sz w:val="22"/>
                <w:szCs w:val="22"/>
              </w:rPr>
              <w:t xml:space="preserve">Rebid Vendor X — 34% above market benchmark</w:t>
            </w:r>
          </w:p>
          <w:p>
            <w:pPr>
              <w:pStyle w:val="ListParagraph"/>
              <w:numPr>
                <w:ilvl w:val="0"/>
                <w:numId w:val="2"/>
              </w:numPr>
              <w:spacing w:after="50" w:before="50"/>
            </w:pPr>
            <w:r>
              <w:rPr>
                <w:rFonts w:ascii="Arial" w:cs="Arial" w:eastAsia="Arial" w:hAnsi="Arial"/>
                <w:b w:val="false"/>
                <w:bCs w:val="false"/>
                <w:color w:val="1A1A2E"/>
                <w:sz w:val="22"/>
                <w:szCs w:val="22"/>
              </w:rPr>
              <w:t xml:space="preserve">Reduce asking rent by 3% — 47% above average days-on-market</w:t>
            </w:r>
          </w:p>
          <w:p>
            <w:pPr>
              <w:pStyle w:val="ListParagraph"/>
              <w:numPr>
                <w:ilvl w:val="0"/>
                <w:numId w:val="2"/>
              </w:numPr>
              <w:spacing w:after="50" w:before="50"/>
            </w:pPr>
            <w:r>
              <w:rPr>
                <w:rFonts w:ascii="Arial" w:cs="Arial" w:eastAsia="Arial" w:hAnsi="Arial"/>
                <w:b w:val="false"/>
                <w:bCs w:val="false"/>
                <w:color w:val="1A1A2E"/>
                <w:sz w:val="22"/>
                <w:szCs w:val="22"/>
              </w:rPr>
              <w:t xml:space="preserve">Initiate renewal conversation — 14 months out, high replacement risk</w:t>
            </w:r>
          </w:p>
          <w:p>
            <w:pPr>
              <w:pStyle w:val="ListParagraph"/>
              <w:numPr>
                <w:ilvl w:val="0"/>
                <w:numId w:val="2"/>
              </w:numPr>
              <w:spacing w:after="50" w:before="50"/>
            </w:pPr>
            <w:r>
              <w:rPr>
                <w:rFonts w:ascii="Arial" w:cs="Arial" w:eastAsia="Arial" w:hAnsi="Arial"/>
                <w:b w:val="false"/>
                <w:bCs w:val="false"/>
                <w:color w:val="1A1A2E"/>
                <w:sz w:val="22"/>
                <w:szCs w:val="22"/>
              </w:rPr>
              <w:t xml:space="preserve">Increase social marketing budget — lead quality trending down vs. vacancy exposure</w:t>
            </w:r>
          </w:p>
          <w:p>
            <w:pPr>
              <w:pStyle w:val="ListParagraph"/>
              <w:numPr>
                <w:ilvl w:val="0"/>
                <w:numId w:val="2"/>
              </w:numPr>
              <w:spacing w:after="50" w:before="50"/>
            </w:pPr>
            <w:r>
              <w:rPr>
                <w:rFonts w:ascii="Arial" w:cs="Arial" w:eastAsia="Arial" w:hAnsi="Arial"/>
                <w:b w:val="false"/>
                <w:bCs w:val="false"/>
                <w:color w:val="1A1A2E"/>
                <w:sz w:val="22"/>
                <w:szCs w:val="22"/>
              </w:rPr>
              <w:t xml:space="preserve">Escalate PM performance — three consecutive budget overruns</w:t>
            </w:r>
          </w:p>
          <w:p>
            <w:pPr>
              <w:pStyle w:val="ListParagraph"/>
              <w:numPr>
                <w:ilvl w:val="0"/>
                <w:numId w:val="2"/>
              </w:numPr>
              <w:spacing w:after="50" w:before="50"/>
            </w:pPr>
            <w:r>
              <w:rPr>
                <w:rFonts w:ascii="Arial" w:cs="Arial" w:eastAsia="Arial" w:hAnsi="Arial"/>
                <w:b w:val="false"/>
                <w:bCs w:val="false"/>
                <w:color w:val="1A1A2E"/>
                <w:sz w:val="22"/>
                <w:szCs w:val="22"/>
              </w:rPr>
              <w:t xml:space="preserve">Delay capital project — conflicts with Q3 lease expiry risk</w:t>
            </w:r>
          </w:p>
        </w:tc>
        <w:tc>
          <w:tcPr>
            <w:tcW w:type="dxa" w:w="4780"/>
            <w:tcBorders>
              <w:top w:val="none" w:color="FFFFFF" w:sz="0"/>
              <w:left w:val="none" w:color="FFFFFF" w:sz="0"/>
              <w:bottom w:val="none" w:color="FFFFFF" w:sz="0"/>
              <w:right w:val="none" w:color="FFFFFF" w:sz="0"/>
            </w:tcBorders>
            <w:tcMar>
              <w:top w:type="dxa" w:w="80"/>
              <w:left w:type="dxa" w:w="200"/>
              <w:bottom w:type="dxa" w:w="80"/>
              <w:right w:type="dxa" w:w="0"/>
            </w:tcMar>
          </w:tcPr>
          <w:p>
            <w:pPr>
              <w:spacing w:after="80" w:before="200"/>
            </w:pPr>
            <w:r>
              <w:rPr>
                <w:rFonts w:ascii="Arial" w:cs="Arial" w:eastAsia="Arial" w:hAnsi="Arial"/>
                <w:b/>
                <w:bCs/>
                <w:color w:val="1A3C4A"/>
                <w:sz w:val="22"/>
                <w:szCs w:val="22"/>
              </w:rPr>
              <w:t xml:space="preserve">It Executes (within authority)</w:t>
            </w:r>
          </w:p>
          <w:p>
            <w:pPr>
              <w:pStyle w:val="ListParagraph"/>
              <w:numPr>
                <w:ilvl w:val="0"/>
                <w:numId w:val="2"/>
              </w:numPr>
              <w:spacing w:after="50" w:before="50"/>
            </w:pPr>
            <w:r>
              <w:rPr>
                <w:rFonts w:ascii="Arial" w:cs="Arial" w:eastAsia="Arial" w:hAnsi="Arial"/>
                <w:b w:val="false"/>
                <w:bCs w:val="false"/>
                <w:color w:val="1A1A2E"/>
                <w:sz w:val="22"/>
                <w:szCs w:val="22"/>
              </w:rPr>
              <w:t xml:space="preserve">Launch social campaign for vacant unit via LeaseReel</w:t>
            </w:r>
          </w:p>
          <w:p>
            <w:pPr>
              <w:pStyle w:val="ListParagraph"/>
              <w:numPr>
                <w:ilvl w:val="0"/>
                <w:numId w:val="2"/>
              </w:numPr>
              <w:spacing w:after="50" w:before="50"/>
            </w:pPr>
            <w:r>
              <w:rPr>
                <w:rFonts w:ascii="Arial" w:cs="Arial" w:eastAsia="Arial" w:hAnsi="Arial"/>
                <w:b w:val="false"/>
                <w:bCs w:val="false"/>
                <w:color w:val="1A1A2E"/>
                <w:sz w:val="22"/>
                <w:szCs w:val="22"/>
              </w:rPr>
              <w:t xml:space="preserve">Adjust digital ad spend within approved parameters</w:t>
            </w:r>
          </w:p>
          <w:p>
            <w:pPr>
              <w:pStyle w:val="ListParagraph"/>
              <w:numPr>
                <w:ilvl w:val="0"/>
                <w:numId w:val="2"/>
              </w:numPr>
              <w:spacing w:after="50" w:before="50"/>
            </w:pPr>
            <w:r>
              <w:rPr>
                <w:rFonts w:ascii="Arial" w:cs="Arial" w:eastAsia="Arial" w:hAnsi="Arial"/>
                <w:b w:val="false"/>
                <w:bCs w:val="false"/>
                <w:color w:val="1A1A2E"/>
                <w:sz w:val="22"/>
                <w:szCs w:val="22"/>
              </w:rPr>
              <w:t xml:space="preserve">Send renewal offer at pre-approved terms</w:t>
            </w:r>
          </w:p>
          <w:p>
            <w:pPr>
              <w:pStyle w:val="ListParagraph"/>
              <w:numPr>
                <w:ilvl w:val="0"/>
                <w:numId w:val="2"/>
              </w:numPr>
              <w:spacing w:after="50" w:before="50"/>
            </w:pPr>
            <w:r>
              <w:rPr>
                <w:rFonts w:ascii="Arial" w:cs="Arial" w:eastAsia="Arial" w:hAnsi="Arial"/>
                <w:b w:val="false"/>
                <w:bCs w:val="false"/>
                <w:color w:val="1A1A2E"/>
                <w:sz w:val="22"/>
                <w:szCs w:val="22"/>
              </w:rPr>
              <w:t xml:space="preserve">Trigger maintenance inspection on vendor performance flag</w:t>
            </w:r>
          </w:p>
          <w:p>
            <w:pPr>
              <w:pStyle w:val="ListParagraph"/>
              <w:numPr>
                <w:ilvl w:val="0"/>
                <w:numId w:val="2"/>
              </w:numPr>
              <w:spacing w:after="50" w:before="50"/>
            </w:pPr>
            <w:r>
              <w:rPr>
                <w:rFonts w:ascii="Arial" w:cs="Arial" w:eastAsia="Arial" w:hAnsi="Arial"/>
                <w:b w:val="false"/>
                <w:bCs w:val="false"/>
                <w:color w:val="1A1A2E"/>
                <w:sz w:val="22"/>
                <w:szCs w:val="22"/>
              </w:rPr>
              <w:t xml:space="preserve">Initiate vendor rebid process for approved categories</w:t>
            </w:r>
          </w:p>
          <w:p>
            <w:pPr>
              <w:pStyle w:val="ListParagraph"/>
              <w:numPr>
                <w:ilvl w:val="0"/>
                <w:numId w:val="2"/>
              </w:numPr>
              <w:spacing w:after="50" w:before="50"/>
            </w:pPr>
            <w:r>
              <w:rPr>
                <w:rFonts w:ascii="Arial" w:cs="Arial" w:eastAsia="Arial" w:hAnsi="Arial"/>
                <w:b w:val="false"/>
                <w:bCs w:val="false"/>
                <w:color w:val="1A1A2E"/>
                <w:sz w:val="22"/>
                <w:szCs w:val="22"/>
              </w:rPr>
              <w:t xml:space="preserve">Create work orders and assign follow-up tasks</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Strategic decisions — lease restructuring, capital allocation, material vendor changes, portfolio repositioning — always remain with the owner. The AI Asset Manager augments judgment; it does not replace it.</w:t>
      </w:r>
    </w:p>
    <w:p>
      <w:pPr>
        <w:spacing w:after="100" w:before="0"/>
      </w:pPr>
      <w:r>
        <w:t xml:space="preserve"/>
      </w:r>
    </w:p>
    <w:p>
      <w:pPr>
        <w:pStyle w:val="Heading1"/>
        <w:spacing w:after="140" w:before="440"/>
      </w:pPr>
      <w:r>
        <w:rPr>
          <w:rFonts w:ascii="Arial" w:cs="Arial" w:eastAsia="Arial" w:hAnsi="Arial"/>
          <w:b/>
          <w:bCs/>
          <w:color w:val="1A3C4A"/>
          <w:sz w:val="36"/>
          <w:szCs w:val="36"/>
        </w:rPr>
        <w:t xml:space="preserve">4. The Three Backgrounds This Problem Requires</w:t>
      </w:r>
    </w:p>
    <w:p>
      <w:pPr>
        <w:pBdr>
          <w:bottom w:val="single" w:color="00B4D8" w:sz="6" w:space="1"/>
        </w:pBdr>
        <w:spacing w:after="140" w:before="140"/>
      </w:pPr>
      <w:r>
        <w:t xml:space="preserve"/>
      </w:r>
    </w:p>
    <w:p>
      <w:pPr>
        <w:spacing w:after="100" w:before="60"/>
        <w:jc w:val="left"/>
      </w:pPr>
      <w:r>
        <w:rPr>
          <w:rFonts w:ascii="Arial" w:cs="Arial" w:eastAsia="Arial" w:hAnsi="Arial"/>
          <w:b w:val="false"/>
          <w:bCs w:val="false"/>
          <w:i w:val="false"/>
          <w:iCs w:val="false"/>
          <w:color w:val="1A1A2E"/>
          <w:sz w:val="22"/>
          <w:szCs w:val="22"/>
        </w:rPr>
        <w:t xml:space="preserve">Francisco named this precisely: the problem requires three distinct backgrounds working together. No single background can build this alone.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Background</w:t>
            </w:r>
          </w:p>
        </w:tc>
        <w:tc>
          <w:tcPr>
            <w:tcW w:type="dxa" w:w="40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What It Contributes</w:t>
            </w:r>
          </w:p>
        </w:tc>
        <w:tc>
          <w:tcPr>
            <w:tcW w:type="dxa" w:w="336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Who Carries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CRE Operations &amp; Asset Management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Deep understanding of what asset managers actually do — the workflows, the decisions, the relationship with property managers, the owner's real concerns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James Kandasamy — operator, portfolio owner, lived the PM relationship from both sides</w:t>
            </w:r>
          </w:p>
        </w:tc>
      </w:tr>
      <w:tr>
        <w:tc>
          <w:tcPr>
            <w:tcW w:type="dxa" w:w="2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Brokerage, Licensing &amp; Fiduciary Accountability</w:t>
            </w:r>
          </w:p>
        </w:tc>
        <w:tc>
          <w:tcPr>
            <w:tcW w:type="dxa" w:w="4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The licensed act of acting on an owner's behalf; outcome-aligned economics; financing structuring; CA licensing and multi-state structure; the regulated layer that makes this defensible</w:t>
            </w:r>
          </w:p>
        </w:tc>
        <w:tc>
          <w:tcPr>
            <w:tcW w:type="dxa" w:w="33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Francisco Williams — CCIM, licensed CA broker, Williams Capital Advisors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Technology &amp; Platform Architecture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The AI Context Foundation, the intelligence engine, the compliance layer, the system of record, the data moat, the product that scales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Raj Babu — AI-native platform building, Agilisium domain expertise</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The combination is the moat. Any one of these backgrounds alone produces a tool. All three together produce a platform that an owner trusts, a PM wants to work alongside, and a competitor cannot easily replicate — because the licensed accountability layer is not something that can be reverse-engineered.</w:t>
      </w:r>
    </w:p>
    <w:p>
      <w:pPr>
        <w:spacing w:after="100" w:before="0"/>
      </w:pPr>
      <w:r>
        <w:t xml:space="preserve"/>
      </w:r>
    </w:p>
    <w:p>
      <w:pPr>
        <w:pStyle w:val="Heading1"/>
        <w:spacing w:after="140" w:before="440"/>
      </w:pPr>
      <w:r>
        <w:rPr>
          <w:rFonts w:ascii="Arial" w:cs="Arial" w:eastAsia="Arial" w:hAnsi="Arial"/>
          <w:b/>
          <w:bCs/>
          <w:color w:val="1A3C4A"/>
          <w:sz w:val="36"/>
          <w:szCs w:val="36"/>
        </w:rPr>
        <w:t xml:space="preserve">5. Commercial Model</w:t>
      </w:r>
    </w:p>
    <w:p>
      <w:pPr>
        <w:pBdr>
          <w:bottom w:val="single" w:color="00B4D8" w:sz="6" w:space="1"/>
        </w:pBdr>
        <w:spacing w:after="140" w:before="140"/>
      </w:pPr>
      <w:r>
        <w:t xml:space="preserve"/>
      </w:r>
    </w:p>
    <w:p>
      <w:pPr>
        <w:pStyle w:val="Heading2"/>
        <w:spacing w:after="100" w:before="300"/>
      </w:pPr>
      <w:r>
        <w:rPr>
          <w:rFonts w:ascii="Arial" w:cs="Arial" w:eastAsia="Arial" w:hAnsi="Arial"/>
          <w:b/>
          <w:bCs/>
          <w:color w:val="1A3C4A"/>
          <w:sz w:val="26"/>
          <w:szCs w:val="26"/>
        </w:rPr>
        <w:t xml:space="preserve">5.1  Base Subscription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Target Owner</w:t>
            </w:r>
          </w:p>
        </w:tc>
        <w:tc>
          <w:tcPr>
            <w:tcW w:type="dxa" w:w="18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Annual Price</w:t>
            </w:r>
          </w:p>
        </w:tc>
        <w:tc>
          <w:tcPr>
            <w:tcW w:type="dxa" w:w="356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What's Included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LeaseReel Starter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Single property / early adopter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$3,600/yr ($300/mo)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LeaseReel workflow for 1 property — content, compliance, scheduling, lead capture, CRM, governance</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LeaseReel Portfolio</w:t>
            </w:r>
          </w:p>
        </w:tc>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2–10 properties</w:t>
            </w:r>
          </w:p>
        </w:tc>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$9,600/yr ($800/mo)</w:t>
            </w:r>
          </w:p>
        </w:tc>
        <w:tc>
          <w:tcPr>
            <w:tcW w:type="dxa" w:w="3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Full LeaseReel across portfolio; corporate governance dashboard; prospect database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AI Asset Manager Essentials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5–20 properties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$18,000/yr ($1,500/mo)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LeaseReel + AI Context Foundation + AI Intelligence Engine; recommendations; owner reporting</w:t>
            </w:r>
          </w:p>
        </w:tc>
      </w:tr>
      <w:tr>
        <w:tc>
          <w:tcPr>
            <w:tcW w:type="dxa" w:w="22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AI Asset Manager Professional</w:t>
            </w:r>
          </w:p>
        </w:tc>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20–100 properties</w:t>
            </w:r>
          </w:p>
        </w:tc>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$42,000/yr ($3,500/mo)</w:t>
            </w:r>
          </w:p>
        </w:tc>
        <w:tc>
          <w:tcPr>
            <w:tcW w:type="dxa" w:w="35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Full platform including delegated execution; outcome tracking; PM performance layer; dedicated onboarding</w:t>
            </w:r>
          </w:p>
        </w:tc>
      </w:tr>
    </w:tbl>
    <w:p>
      <w:pPr>
        <w:spacing w:after="100" w:before="0"/>
      </w:pPr>
      <w:r>
        <w:t xml:space="preserve"/>
      </w:r>
    </w:p>
    <w:p>
      <w:pPr>
        <w:pStyle w:val="Heading2"/>
        <w:spacing w:after="100" w:before="300"/>
      </w:pPr>
      <w:r>
        <w:rPr>
          <w:rFonts w:ascii="Arial" w:cs="Arial" w:eastAsia="Arial" w:hAnsi="Arial"/>
          <w:b/>
          <w:bCs/>
          <w:color w:val="1A3C4A"/>
          <w:sz w:val="26"/>
          <w:szCs w:val="26"/>
        </w:rPr>
        <w:t xml:space="preserve">5.2  Outcome-Aligned Economics (Subject to Alignment Call)</w:t>
      </w:r>
    </w:p>
    <w:p>
      <w:pPr>
        <w:spacing w:after="100" w:before="60"/>
        <w:jc w:val="left"/>
      </w:pPr>
      <w:r>
        <w:rPr>
          <w:rFonts w:ascii="Arial" w:cs="Arial" w:eastAsia="Arial" w:hAnsi="Arial"/>
          <w:b w:val="false"/>
          <w:bCs w:val="false"/>
          <w:i w:val="false"/>
          <w:iCs w:val="false"/>
          <w:color w:val="1A1A2E"/>
          <w:sz w:val="22"/>
          <w:szCs w:val="22"/>
        </w:rPr>
        <w:t xml:space="preserve">In addition to the base subscription, the platform will explore a value-share component — a portion of the measurable financial value created for the owner, charged as a performance fee.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B4D8" w:sz="12"/>
              <w:bottom w:val="none" w:color="FFFFFF" w:sz="0"/>
              <w:right w:val="none" w:color="FFFFFF" w:sz="0"/>
            </w:tcBorders>
            <w:shd w:fill="F5F7F9" w:val="clear"/>
            <w:tcMar>
              <w:top w:type="dxa" w:w="160"/>
              <w:left w:type="dxa" w:w="280"/>
              <w:bottom w:type="dxa" w:w="160"/>
              <w:right w:type="dxa" w:w="200"/>
            </w:tcMar>
          </w:tcPr>
          <w:p>
            <w:pPr>
              <w:spacing w:after="80" w:before="200"/>
            </w:pPr>
            <w:r>
              <w:rPr>
                <w:rFonts w:ascii="Arial" w:cs="Arial" w:eastAsia="Arial" w:hAnsi="Arial"/>
                <w:b/>
                <w:bCs/>
                <w:color w:val="1A3C4A"/>
                <w:sz w:val="22"/>
                <w:szCs w:val="22"/>
              </w:rPr>
              <w:t xml:space="preserve">How Value-Share Works</w:t>
            </w:r>
          </w:p>
          <w:p>
            <w:pPr>
              <w:pStyle w:val="ListParagraph"/>
              <w:numPr>
                <w:ilvl w:val="0"/>
                <w:numId w:val="2"/>
              </w:numPr>
              <w:spacing w:after="50" w:before="50"/>
            </w:pPr>
            <w:r>
              <w:rPr>
                <w:rFonts w:ascii="Arial" w:cs="Arial" w:eastAsia="Arial" w:hAnsi="Arial"/>
                <w:b w:val="false"/>
                <w:bCs w:val="false"/>
                <w:color w:val="1A1A2E"/>
                <w:sz w:val="22"/>
                <w:szCs w:val="22"/>
              </w:rPr>
              <w:t xml:space="preserve">Baseline is established at onboarding: current NOI, current cost-per-lease, current vacancy rate, current vendor spend vs. market.</w:t>
            </w:r>
          </w:p>
          <w:p>
            <w:pPr>
              <w:pStyle w:val="ListParagraph"/>
              <w:numPr>
                <w:ilvl w:val="0"/>
                <w:numId w:val="2"/>
              </w:numPr>
              <w:spacing w:after="50" w:before="50"/>
            </w:pPr>
            <w:r>
              <w:rPr>
                <w:rFonts w:ascii="Arial" w:cs="Arial" w:eastAsia="Arial" w:hAnsi="Arial"/>
                <w:b w:val="false"/>
                <w:bCs w:val="false"/>
                <w:color w:val="1A1A2E"/>
                <w:sz w:val="22"/>
                <w:szCs w:val="22"/>
              </w:rPr>
              <w:t xml:space="preserve">The platform measures improvement against baseline continuously.</w:t>
            </w:r>
          </w:p>
          <w:p>
            <w:pPr>
              <w:pStyle w:val="ListParagraph"/>
              <w:numPr>
                <w:ilvl w:val="0"/>
                <w:numId w:val="2"/>
              </w:numPr>
              <w:spacing w:after="50" w:before="50"/>
            </w:pPr>
            <w:r>
              <w:rPr>
                <w:rFonts w:ascii="Arial" w:cs="Arial" w:eastAsia="Arial" w:hAnsi="Arial"/>
                <w:b w:val="false"/>
                <w:bCs w:val="false"/>
                <w:color w:val="1A1A2E"/>
                <w:sz w:val="22"/>
                <w:szCs w:val="22"/>
              </w:rPr>
              <w:t xml:space="preserve">A percentage of documented NOI improvement — from vacancy reduction, vendor rebidding, marketing efficiency, or renewal retention — is charged as a performance fee, capped at a defined percentage of total value created.</w:t>
            </w:r>
          </w:p>
          <w:p>
            <w:pPr>
              <w:pStyle w:val="ListParagraph"/>
              <w:numPr>
                <w:ilvl w:val="0"/>
                <w:numId w:val="2"/>
              </w:numPr>
              <w:spacing w:after="50" w:before="50"/>
            </w:pPr>
            <w:r>
              <w:rPr>
                <w:rFonts w:ascii="Arial" w:cs="Arial" w:eastAsia="Arial" w:hAnsi="Arial"/>
                <w:b w:val="false"/>
                <w:bCs w:val="false"/>
                <w:color w:val="1A1A2E"/>
                <w:sz w:val="22"/>
                <w:szCs w:val="22"/>
              </w:rPr>
              <w:t xml:space="preserve">Because acting on an owner's behalf is a licensed act, Francisco carries the fiduciary and licensed accountability layer in CA and helps structure the fee model across states.</w:t>
            </w:r>
          </w:p>
          <w:p>
            <w:pPr>
              <w:spacing w:after="100" w:before="0"/>
            </w:pPr>
            <w:r>
              <w:t xml:space="preserve"/>
            </w:r>
          </w:p>
          <w:p>
            <w:pPr>
              <w:spacing w:after="100" w:before="60"/>
              <w:jc w:val="left"/>
            </w:pPr>
            <w:r>
              <w:rPr>
                <w:rFonts w:ascii="Arial" w:cs="Arial" w:eastAsia="Arial" w:hAnsi="Arial"/>
                <w:b w:val="false"/>
                <w:bCs w:val="false"/>
                <w:i/>
                <w:iCs/>
                <w:color w:val="4A5568"/>
                <w:sz w:val="22"/>
                <w:szCs w:val="22"/>
              </w:rPr>
              <w:t xml:space="preserve">This model changes the owner relationship from 'software subscription' to 'aligned partner.' It is also the layer hardest to replicate — because the licensed accountability cannot be copied.</w:t>
            </w:r>
          </w:p>
        </w:tc>
      </w:tr>
    </w:tbl>
    <w:p>
      <w:pPr>
        <w:spacing w:after="100" w:before="0"/>
      </w:pPr>
      <w:r>
        <w:t xml:space="preserve"/>
      </w:r>
    </w:p>
    <w:p>
      <w:pPr>
        <w:pStyle w:val="Heading1"/>
        <w:spacing w:after="140" w:before="440"/>
      </w:pPr>
      <w:r>
        <w:rPr>
          <w:rFonts w:ascii="Arial" w:cs="Arial" w:eastAsia="Arial" w:hAnsi="Arial"/>
          <w:b/>
          <w:bCs/>
          <w:color w:val="1A3C4A"/>
          <w:sz w:val="36"/>
          <w:szCs w:val="36"/>
        </w:rPr>
        <w:t xml:space="preserve">6. Market Definition</w:t>
      </w:r>
    </w:p>
    <w:p>
      <w:pPr>
        <w:pBdr>
          <w:bottom w:val="single" w:color="00B4D8" w:sz="6" w:space="1"/>
        </w:pBdr>
        <w:spacing w:after="140" w:before="140"/>
      </w:pPr>
      <w:r>
        <w:t xml:space="preserve"/>
      </w:r>
    </w:p>
    <w:p>
      <w:pPr>
        <w:pStyle w:val="Heading2"/>
        <w:spacing w:after="100" w:before="300"/>
      </w:pPr>
      <w:r>
        <w:rPr>
          <w:rFonts w:ascii="Arial" w:cs="Arial" w:eastAsia="Arial" w:hAnsi="Arial"/>
          <w:b/>
          <w:bCs/>
          <w:color w:val="1A3C4A"/>
          <w:sz w:val="26"/>
          <w:szCs w:val="26"/>
        </w:rPr>
        <w:t xml:space="preserve">6.1  Lead with Bottom-Up, Hold the Vision Top-Down</w:t>
      </w:r>
    </w:p>
    <w:p>
      <w:pPr>
        <w:spacing w:after="100" w:before="60"/>
        <w:jc w:val="left"/>
      </w:pPr>
      <w:r>
        <w:rPr>
          <w:rFonts w:ascii="Arial" w:cs="Arial" w:eastAsia="Arial" w:hAnsi="Arial"/>
          <w:b w:val="false"/>
          <w:bCs w:val="false"/>
          <w:i w:val="false"/>
          <w:iCs w:val="false"/>
          <w:color w:val="1A1A2E"/>
          <w:sz w:val="22"/>
          <w:szCs w:val="22"/>
        </w:rPr>
        <w:t xml:space="preserve">The strongest investor narrative leads with a bottom-up, defensible number — then expands to the full vision.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2160"/>
      </w:tblGrid>
      <w:tr>
        <w:trPr>
          <w:tblHeader/>
        </w:trPr>
        <w:tc>
          <w:tcPr>
            <w:tcW w:type="dxa" w:w="18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Market Frame</w:t>
            </w:r>
          </w:p>
        </w:tc>
        <w:tc>
          <w:tcPr>
            <w:tcW w:type="dxa" w:w="14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Number</w:t>
            </w:r>
          </w:p>
        </w:tc>
        <w:tc>
          <w:tcPr>
            <w:tcW w:type="dxa" w:w="400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Definition</w:t>
            </w:r>
          </w:p>
        </w:tc>
        <w:tc>
          <w:tcPr>
            <w:tcW w:type="dxa" w:w="2160"/>
            <w:tcBorders>
              <w:top w:val="single" w:color="CCCCCC" w:sz="1"/>
              <w:left w:val="single" w:color="CCCCCC" w:sz="1"/>
              <w:bottom w:val="single" w:color="CCCCCC" w:sz="1"/>
              <w:right w:val="single" w:color="CCCCCC" w:sz="1"/>
            </w:tcBorders>
            <w:shd w:fill="1A3C4A" w:val="clear"/>
            <w:tcMar>
              <w:top w:type="dxa" w:w="100"/>
              <w:left w:type="dxa" w:w="120"/>
              <w:bottom w:type="dxa" w:w="100"/>
              <w:right w:type="dxa" w:w="120"/>
            </w:tcMar>
          </w:tcPr>
          <w:p>
            <w:r>
              <w:rPr>
                <w:rFonts w:ascii="Arial" w:cs="Arial" w:eastAsia="Arial" w:hAnsi="Arial"/>
                <w:b/>
                <w:bCs/>
                <w:color w:val="FFFFFF"/>
                <w:sz w:val="20"/>
                <w:szCs w:val="20"/>
              </w:rPr>
              <w:t xml:space="preserve">Role in Narrative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Bottom-Up SAM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~16M units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Self-managed and small-PM-managed residential units (multifamily + SFR) with a property manager but no asset manager and no owner-side intelligence layer at an affordable price point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Lead with this — defensible, specific, grounded in Francisco's ground-level read</w:t>
            </w:r>
          </w:p>
        </w:tc>
      </w:tr>
      <w:tr>
        <w:tc>
          <w:tcPr>
            <w:tcW w:type="dxa" w:w="18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Expanded TAM</w:t>
            </w:r>
          </w:p>
        </w:tc>
        <w:tc>
          <w:tcPr>
            <w:tcW w:type="dxa" w:w="14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~278K firms / $4.2B</w:t>
            </w:r>
          </w:p>
        </w:tc>
        <w:tc>
          <w:tcPr>
            <w:tcW w:type="dxa" w:w="400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All US commercial real estate owners in the $5M–$500M AUM range across all asset classes</w:t>
            </w:r>
          </w:p>
        </w:tc>
        <w:tc>
          <w:tcPr>
            <w:tcW w:type="dxa" w:w="2160"/>
            <w:tcBorders>
              <w:top w:val="single" w:color="CCCCCC" w:sz="1"/>
              <w:left w:val="single" w:color="CCCCCC" w:sz="1"/>
              <w:bottom w:val="single" w:color="CCCCCC" w:sz="1"/>
              <w:right w:val="single" w:color="CCCCCC" w:sz="1"/>
            </w:tcBorders>
            <w:shd w:fill="F5F7F9" w:val="clear"/>
            <w:tcMar>
              <w:top w:type="dxa" w:w="80"/>
              <w:left w:type="dxa" w:w="120"/>
              <w:bottom w:type="dxa" w:w="80"/>
              <w:right w:type="dxa" w:w="120"/>
            </w:tcMar>
          </w:tcPr>
          <w:p>
            <w:r>
              <w:rPr>
                <w:rFonts w:ascii="Arial" w:cs="Arial" w:eastAsia="Arial" w:hAnsi="Arial"/>
                <w:color w:val="1A1A2E"/>
                <w:sz w:val="20"/>
                <w:szCs w:val="20"/>
              </w:rPr>
              <w:t xml:space="preserve">Horizon vision — shows total scale once platform extends beyond residential wedge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Full CRE Vision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$22T market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Total US commercial real estate market 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2E"/>
                <w:sz w:val="20"/>
                <w:szCs w:val="20"/>
              </w:rPr>
              <w:t xml:space="preserve">Long-term context only — not a primary investment narrative number</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Multifamily and SFR is the wedge. Full commercial real estate is the horizon. The narrative moves from the specific and defensible to the expansive — not the reverse.</w:t>
      </w:r>
    </w:p>
    <w:p>
      <w:pPr>
        <w:spacing w:after="100" w:before="0"/>
      </w:pPr>
      <w:r>
        <w:t xml:space="preserve"/>
      </w:r>
    </w:p>
    <w:p>
      <w:pPr>
        <w:pStyle w:val="Heading1"/>
        <w:spacing w:after="140" w:before="440"/>
      </w:pPr>
      <w:r>
        <w:rPr>
          <w:rFonts w:ascii="Arial" w:cs="Arial" w:eastAsia="Arial" w:hAnsi="Arial"/>
          <w:b/>
          <w:bCs/>
          <w:color w:val="1A3C4A"/>
          <w:sz w:val="36"/>
          <w:szCs w:val="36"/>
        </w:rPr>
        <w:t xml:space="preserve">7. First Pilot</w:t>
      </w:r>
    </w:p>
    <w:p>
      <w:pPr>
        <w:pBdr>
          <w:bottom w:val="single" w:color="00B4D8" w:sz="6" w:space="1"/>
        </w:pBdr>
        <w:spacing w:after="140" w:before="140"/>
      </w:pPr>
      <w:r>
        <w:t xml:space="preserve"/>
      </w:r>
    </w:p>
    <w:p>
      <w:pPr>
        <w:pStyle w:val="Heading2"/>
        <w:spacing w:after="100" w:before="300"/>
      </w:pPr>
      <w:r>
        <w:rPr>
          <w:rFonts w:ascii="Arial" w:cs="Arial" w:eastAsia="Arial" w:hAnsi="Arial"/>
          <w:b/>
          <w:bCs/>
          <w:color w:val="1A3C4A"/>
          <w:sz w:val="26"/>
          <w:szCs w:val="26"/>
        </w:rPr>
        <w:t xml:space="preserve">7.1  Real Assets, Not Hypothetical Pilots</w:t>
      </w:r>
    </w:p>
    <w:p>
      <w:pPr>
        <w:spacing w:after="100" w:before="60"/>
        <w:jc w:val="left"/>
      </w:pPr>
      <w:r>
        <w:rPr>
          <w:rFonts w:ascii="Arial" w:cs="Arial" w:eastAsia="Arial" w:hAnsi="Arial"/>
          <w:b w:val="false"/>
          <w:bCs w:val="false"/>
          <w:i w:val="false"/>
          <w:iCs w:val="false"/>
          <w:color w:val="1A1A2E"/>
          <w:sz w:val="22"/>
          <w:szCs w:val="22"/>
        </w:rPr>
        <w:t xml:space="preserve">Francisco has confirmed that real assets are available for the first engagement. We do not need to wait for hypothetical design partners — we can begin with properties where we can establish a real baseline, run a real pilot, and document real outcomes.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7F9" w:val="clear"/>
            <w:tcMar>
              <w:top w:type="dxa" w:w="200"/>
              <w:left w:type="dxa" w:w="280"/>
              <w:bottom w:type="dxa" w:w="200"/>
              <w:right w:type="dxa" w:w="280"/>
            </w:tcMar>
          </w:tcPr>
          <w:p>
            <w:pPr>
              <w:spacing w:after="80" w:before="200"/>
            </w:pPr>
            <w:r>
              <w:rPr>
                <w:rFonts w:ascii="Arial" w:cs="Arial" w:eastAsia="Arial" w:hAnsi="Arial"/>
                <w:b/>
                <w:bCs/>
                <w:color w:val="1A3C4A"/>
                <w:sz w:val="22"/>
                <w:szCs w:val="22"/>
              </w:rPr>
              <w:t xml:space="preserve">Pilot Structure — To Be Confirmed on Alignment Call</w:t>
            </w:r>
          </w:p>
          <w:p>
            <w:pPr>
              <w:pStyle w:val="ListParagraph"/>
              <w:numPr>
                <w:ilvl w:val="0"/>
                <w:numId w:val="3"/>
              </w:numPr>
              <w:spacing w:after="60" w:before="60"/>
            </w:pPr>
            <w:r>
              <w:rPr>
                <w:rFonts w:ascii="Arial" w:cs="Arial" w:eastAsia="Arial" w:hAnsi="Arial"/>
                <w:color w:val="1A1A2E"/>
                <w:sz w:val="22"/>
                <w:szCs w:val="22"/>
              </w:rPr>
              <w:t xml:space="preserve">Select 1–2 pilot properties from Francisco's portfolio (specific assets TBD on call)</w:t>
            </w:r>
          </w:p>
          <w:p>
            <w:pPr>
              <w:pStyle w:val="ListParagraph"/>
              <w:numPr>
                <w:ilvl w:val="0"/>
                <w:numId w:val="3"/>
              </w:numPr>
              <w:spacing w:after="60" w:before="60"/>
            </w:pPr>
            <w:r>
              <w:rPr>
                <w:rFonts w:ascii="Arial" w:cs="Arial" w:eastAsia="Arial" w:hAnsi="Arial"/>
                <w:color w:val="1A1A2E"/>
                <w:sz w:val="22"/>
                <w:szCs w:val="22"/>
              </w:rPr>
              <w:t xml:space="preserve">Establish 90-day pre-pilot baseline: current social-attributed leads, current cost-per-lease by source, current vacancy rate and days-on-market</w:t>
            </w:r>
          </w:p>
          <w:p>
            <w:pPr>
              <w:pStyle w:val="ListParagraph"/>
              <w:numPr>
                <w:ilvl w:val="0"/>
                <w:numId w:val="3"/>
              </w:numPr>
              <w:spacing w:after="60" w:before="60"/>
            </w:pPr>
            <w:r>
              <w:rPr>
                <w:rFonts w:ascii="Arial" w:cs="Arial" w:eastAsia="Arial" w:hAnsi="Arial"/>
                <w:color w:val="1A1A2E"/>
                <w:sz w:val="22"/>
                <w:szCs w:val="22"/>
              </w:rPr>
              <w:t xml:space="preserve">Identify 1–2 lookalike control properties at comparable assets not running LeaseReel</w:t>
            </w:r>
          </w:p>
          <w:p>
            <w:pPr>
              <w:pStyle w:val="ListParagraph"/>
              <w:numPr>
                <w:ilvl w:val="0"/>
                <w:numId w:val="3"/>
              </w:numPr>
              <w:spacing w:after="60" w:before="60"/>
            </w:pPr>
            <w:r>
              <w:rPr>
                <w:rFonts w:ascii="Arial" w:cs="Arial" w:eastAsia="Arial" w:hAnsi="Arial"/>
                <w:color w:val="1A1A2E"/>
                <w:sz w:val="22"/>
                <w:szCs w:val="22"/>
              </w:rPr>
              <w:t xml:space="preserve">Run LeaseReel workflow at pilot properties for 90 days</w:t>
            </w:r>
          </w:p>
          <w:p>
            <w:pPr>
              <w:pStyle w:val="ListParagraph"/>
              <w:numPr>
                <w:ilvl w:val="0"/>
                <w:numId w:val="3"/>
              </w:numPr>
              <w:spacing w:after="60" w:before="60"/>
            </w:pPr>
            <w:r>
              <w:rPr>
                <w:rFonts w:ascii="Arial" w:cs="Arial" w:eastAsia="Arial" w:hAnsi="Arial"/>
                <w:color w:val="1A1A2E"/>
                <w:sz w:val="22"/>
                <w:szCs w:val="22"/>
              </w:rPr>
              <w:t xml:space="preserve">Score pilot vs. baseline and vs. control on: social-attributed leases, cost-per-lease, lead-to-lease conversion rate</w:t>
            </w:r>
          </w:p>
          <w:p>
            <w:pPr>
              <w:pStyle w:val="ListParagraph"/>
              <w:numPr>
                <w:ilvl w:val="0"/>
                <w:numId w:val="3"/>
              </w:numPr>
              <w:spacing w:after="60" w:before="60"/>
            </w:pPr>
            <w:r>
              <w:rPr>
                <w:rFonts w:ascii="Arial" w:cs="Arial" w:eastAsia="Arial" w:hAnsi="Arial"/>
                <w:color w:val="1A1A2E"/>
                <w:sz w:val="22"/>
                <w:szCs w:val="22"/>
              </w:rPr>
              <w:t xml:space="preserve">Document and publish results as the first case study</w:t>
            </w:r>
          </w:p>
        </w:tc>
      </w:tr>
    </w:tbl>
    <w:p>
      <w:pPr>
        <w:spacing w:after="100" w:before="0"/>
      </w:pPr>
      <w:r>
        <w:t xml:space="preserve"/>
      </w:r>
    </w:p>
    <w:p>
      <w:pPr>
        <w:spacing w:after="100" w:before="60"/>
        <w:jc w:val="left"/>
      </w:pPr>
      <w:r>
        <w:rPr>
          <w:rFonts w:ascii="Arial" w:cs="Arial" w:eastAsia="Arial" w:hAnsi="Arial"/>
          <w:b w:val="false"/>
          <w:bCs w:val="false"/>
          <w:i w:val="false"/>
          <w:iCs w:val="false"/>
          <w:color w:val="1A1A2E"/>
          <w:sz w:val="22"/>
          <w:szCs w:val="22"/>
        </w:rPr>
        <w:t xml:space="preserve">Success is defined simply: pilot properties beat their own baseline and the control group on social-attributed leases, at a cost-per-lease at or below our other paid sources. If one leasing team is delighted and the leads are real — the model is proven.</w:t>
      </w:r>
    </w:p>
    <w:p>
      <w:pPr>
        <w:spacing w:after="100" w:before="0"/>
      </w:pPr>
      <w:r>
        <w:t xml:space="preserve"/>
      </w:r>
    </w:p>
    <w:p>
      <w:pPr>
        <w:pStyle w:val="Heading2"/>
        <w:spacing w:after="100" w:before="300"/>
      </w:pPr>
      <w:r>
        <w:rPr>
          <w:rFonts w:ascii="Arial" w:cs="Arial" w:eastAsia="Arial" w:hAnsi="Arial"/>
          <w:b/>
          <w:bCs/>
          <w:color w:val="1A3C4A"/>
          <w:sz w:val="26"/>
          <w:szCs w:val="26"/>
        </w:rPr>
        <w:t xml:space="preserve">7.2  What the Pilot Proves Beyond LeaseReel</w:t>
      </w:r>
    </w:p>
    <w:p>
      <w:pPr>
        <w:spacing w:after="100" w:before="60"/>
        <w:jc w:val="left"/>
      </w:pPr>
      <w:r>
        <w:rPr>
          <w:rFonts w:ascii="Arial" w:cs="Arial" w:eastAsia="Arial" w:hAnsi="Arial"/>
          <w:b w:val="false"/>
          <w:bCs w:val="false"/>
          <w:i w:val="false"/>
          <w:iCs w:val="false"/>
          <w:color w:val="1A1A2E"/>
          <w:sz w:val="22"/>
          <w:szCs w:val="22"/>
        </w:rPr>
        <w:t xml:space="preserve">The pilot is not just a LeaseReel proof of concept. It is the first live demonstration of the AI Asset Manager thesis:</w:t>
      </w:r>
    </w:p>
    <w:p>
      <w:pPr>
        <w:pStyle w:val="ListParagraph"/>
        <w:numPr>
          <w:ilvl w:val="0"/>
          <w:numId w:val="2"/>
        </w:numPr>
        <w:spacing w:after="50" w:before="50"/>
      </w:pPr>
      <w:r>
        <w:rPr>
          <w:rFonts w:ascii="Arial" w:cs="Arial" w:eastAsia="Arial" w:hAnsi="Arial"/>
          <w:b w:val="false"/>
          <w:bCs w:val="false"/>
          <w:color w:val="1A1A2E"/>
          <w:sz w:val="22"/>
          <w:szCs w:val="22"/>
        </w:rPr>
        <w:t xml:space="preserve">Owner-side intelligence, working alongside the PM, produces measurable financial outcomes.</w:t>
      </w:r>
    </w:p>
    <w:p>
      <w:pPr>
        <w:pStyle w:val="ListParagraph"/>
        <w:numPr>
          <w:ilvl w:val="0"/>
          <w:numId w:val="2"/>
        </w:numPr>
        <w:spacing w:after="50" w:before="50"/>
      </w:pPr>
      <w:r>
        <w:rPr>
          <w:rFonts w:ascii="Arial" w:cs="Arial" w:eastAsia="Arial" w:hAnsi="Arial"/>
          <w:b w:val="false"/>
          <w:bCs w:val="false"/>
          <w:color w:val="1A1A2E"/>
          <w:sz w:val="22"/>
          <w:szCs w:val="22"/>
        </w:rPr>
        <w:t xml:space="preserve">Data generated by the LeaseReel workflow populates the AI Context Foundation in real time.</w:t>
      </w:r>
    </w:p>
    <w:p>
      <w:pPr>
        <w:pStyle w:val="ListParagraph"/>
        <w:numPr>
          <w:ilvl w:val="0"/>
          <w:numId w:val="2"/>
        </w:numPr>
        <w:spacing w:after="50" w:before="50"/>
      </w:pPr>
      <w:r>
        <w:rPr>
          <w:rFonts w:ascii="Arial" w:cs="Arial" w:eastAsia="Arial" w:hAnsi="Arial"/>
          <w:b w:val="false"/>
          <w:bCs w:val="false"/>
          <w:color w:val="1A1A2E"/>
          <w:sz w:val="22"/>
          <w:szCs w:val="22"/>
        </w:rPr>
        <w:t xml:space="preserve">Outcome-aligned economics can be validated against a real baseline from day one.</w:t>
      </w:r>
    </w:p>
    <w:p>
      <w:pPr>
        <w:pStyle w:val="ListParagraph"/>
        <w:numPr>
          <w:ilvl w:val="0"/>
          <w:numId w:val="2"/>
        </w:numPr>
        <w:spacing w:after="50" w:before="50"/>
      </w:pPr>
      <w:r>
        <w:rPr>
          <w:rFonts w:ascii="Arial" w:cs="Arial" w:eastAsia="Arial" w:hAnsi="Arial"/>
          <w:b w:val="false"/>
          <w:bCs w:val="false"/>
          <w:color w:val="1A1A2E"/>
          <w:sz w:val="22"/>
          <w:szCs w:val="22"/>
        </w:rPr>
        <w:t xml:space="preserve">The platform is deployable without hypothetical infrastructure — real assets, real data, real results.</w:t>
      </w:r>
    </w:p>
    <w:p>
      <w:pPr>
        <w:spacing w:after="200" w:before="0"/>
      </w:pPr>
      <w:r>
        <w:t xml:space="preserve"/>
      </w:r>
    </w:p>
    <w:p>
      <w:pPr>
        <w:pBdr>
          <w:bottom w:val="single" w:color="00B4D8" w:sz="6" w:space="1"/>
        </w:pBdr>
        <w:spacing w:after="140" w:before="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8ED" w:val="clear"/>
            <w:tcMar>
              <w:top w:type="dxa" w:w="200"/>
              <w:left w:type="dxa" w:w="280"/>
              <w:bottom w:type="dxa" w:w="200"/>
              <w:right w:type="dxa" w:w="280"/>
            </w:tcMar>
          </w:tcPr>
          <w:p>
            <w:pPr>
              <w:spacing w:after="60" w:before="80"/>
              <w:jc w:val="center"/>
            </w:pPr>
            <w:r>
              <w:rPr>
                <w:rFonts w:ascii="Arial" w:cs="Arial" w:eastAsia="Arial" w:hAnsi="Arial"/>
                <w:b/>
                <w:bCs/>
                <w:color w:val="C0392B"/>
                <w:sz w:val="26"/>
                <w:szCs w:val="26"/>
              </w:rPr>
              <w:t xml:space="preserve">Three Open Items for the Alignment Call</w:t>
            </w:r>
          </w:p>
          <w:p>
            <w:pPr>
              <w:spacing w:after="100" w:before="60"/>
              <w:jc w:val="left"/>
            </w:pPr>
            <w:r>
              <w:rPr>
                <w:rFonts w:ascii="Arial" w:cs="Arial" w:eastAsia="Arial" w:hAnsi="Arial"/>
                <w:b/>
                <w:bCs/>
                <w:i w:val="false"/>
                <w:iCs w:val="false"/>
                <w:color w:val="1A1A2E"/>
                <w:sz w:val="22"/>
                <w:szCs w:val="22"/>
              </w:rPr>
              <w:t xml:space="preserve">The following three decisions are not yet confirmed and will be locked on the call before documents are revised to Version 2:</w:t>
            </w:r>
          </w:p>
          <w:p>
            <w:pPr>
              <w:spacing w:after="100" w:before="0"/>
            </w:pPr>
            <w:r>
              <w:t xml:space="preserve"/>
            </w:r>
          </w:p>
          <w:p>
            <w:pPr>
              <w:pStyle w:val="ListParagraph"/>
              <w:numPr>
                <w:ilvl w:val="0"/>
                <w:numId w:val="2"/>
              </w:numPr>
              <w:spacing w:after="50" w:before="50"/>
            </w:pPr>
            <w:r>
              <w:rPr>
                <w:rFonts w:ascii="Arial" w:cs="Arial" w:eastAsia="Arial" w:hAnsi="Arial"/>
                <w:b w:val="false"/>
                <w:bCs w:val="false"/>
                <w:color w:val="1A1A2E"/>
                <w:sz w:val="22"/>
                <w:szCs w:val="22"/>
              </w:rPr>
              <w:t xml:space="preserve">CRM ownership: build our own CRM as the primary system of record first, or integrate with existing CRE CRMs first and build own over time? (James's recommendation is build-first; this is an architectural decision, not editorial.)</w:t>
            </w:r>
          </w:p>
          <w:p>
            <w:pPr>
              <w:pStyle w:val="ListParagraph"/>
              <w:numPr>
                <w:ilvl w:val="0"/>
                <w:numId w:val="2"/>
              </w:numPr>
              <w:spacing w:after="50" w:before="50"/>
            </w:pPr>
            <w:r>
              <w:rPr>
                <w:rFonts w:ascii="Arial" w:cs="Arial" w:eastAsia="Arial" w:hAnsi="Arial"/>
                <w:b w:val="false"/>
                <w:bCs w:val="false"/>
                <w:color w:val="1A1A2E"/>
                <w:sz w:val="22"/>
                <w:szCs w:val="22"/>
              </w:rPr>
              <w:t xml:space="preserve">Outcome-aligned fee model: structure, percentage, cap, and state-by-state licensing framework. (Francisco leads this; to be agreed before it enters the Business Case.)</w:t>
            </w:r>
          </w:p>
          <w:p>
            <w:pPr>
              <w:pStyle w:val="ListParagraph"/>
              <w:numPr>
                <w:ilvl w:val="0"/>
                <w:numId w:val="2"/>
              </w:numPr>
              <w:spacing w:after="50" w:before="50"/>
            </w:pPr>
            <w:r>
              <w:rPr>
                <w:rFonts w:ascii="Arial" w:cs="Arial" w:eastAsia="Arial" w:hAnsi="Arial"/>
                <w:b w:val="false"/>
                <w:bCs w:val="false"/>
                <w:color w:val="1A1A2E"/>
                <w:sz w:val="22"/>
                <w:szCs w:val="22"/>
              </w:rPr>
              <w:t xml:space="preserve">First pilot property: which specific asset(s), what baseline period, which control properties. (Francisco has confirmed real assets are available; selection TBD on call.)</w:t>
            </w:r>
          </w:p>
          <w:p>
            <w:pPr>
              <w:spacing w:after="100" w:before="0"/>
            </w:pPr>
            <w:r>
              <w:t xml:space="preserve"/>
            </w:r>
          </w:p>
          <w:p>
            <w:pPr>
              <w:spacing w:after="100" w:before="60"/>
              <w:jc w:val="left"/>
            </w:pPr>
            <w:r>
              <w:rPr>
                <w:rFonts w:ascii="Arial" w:cs="Arial" w:eastAsia="Arial" w:hAnsi="Arial"/>
                <w:b w:val="false"/>
                <w:bCs w:val="false"/>
                <w:i/>
                <w:iCs/>
                <w:color w:val="4A5568"/>
                <w:sz w:val="22"/>
                <w:szCs w:val="22"/>
              </w:rPr>
              <w:t xml:space="preserve">Everything else in this document is treated as directionally confirmed and will be incorporated into Version 2 of the Vision Narrative and Business Case following the call.</w:t>
            </w:r>
          </w:p>
        </w:tc>
      </w:tr>
    </w:tbl>
    <w:p>
      <w:pPr>
        <w:spacing w:after="200" w:before="0"/>
      </w:pPr>
      <w:r>
        <w:t xml:space="preserve"/>
      </w:r>
    </w:p>
    <w:p>
      <w:pPr>
        <w:spacing w:after="40" w:before="80"/>
        <w:jc w:val="center"/>
      </w:pPr>
      <w:r>
        <w:rPr>
          <w:rFonts w:ascii="Arial" w:cs="Arial" w:eastAsia="Arial" w:hAnsi="Arial"/>
          <w:i/>
          <w:iCs/>
          <w:color w:val="4A5568"/>
          <w:sz w:val="18"/>
          <w:szCs w:val="18"/>
        </w:rPr>
        <w:t xml:space="preserve">LeaseReel™ + AI Asset Manager™  |  Use Case — Working Draft v1  |  June 2026  |  Confidential</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A3C4A"/>
      <w:sz w:val="36"/>
      <w:szCs w:val="36"/>
    </w:rPr>
  </w:style>
  <w:style w:type="paragraph" w:styleId="Heading2">
    <w:name w:val="Heading 2"/>
    <w:basedOn w:val="Normal"/>
    <w:next w:val="Normal"/>
    <w:qFormat/>
    <w:pPr>
      <w:spacing w:after="100" w:before="300"/>
      <w:outlineLvl w:val="1"/>
    </w:pPr>
    <w:rPr>
      <w:rFonts w:ascii="Arial" w:cs="Arial" w:eastAsia="Arial" w:hAnsi="Arial"/>
      <w:b/>
      <w:bCs/>
      <w:color w:val="1A3C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2026-06-26T23:32:31.408Z</dcterms:created>
  <dcterms:modified xsi:type="dcterms:W3CDTF">2026-06-26T23:32:31.422Z</dcterms:modified>
</cp:coreProperties>
</file>

<file path=docProps/custom.xml><?xml version="1.0" encoding="utf-8"?>
<Properties xmlns="http://schemas.openxmlformats.org/officeDocument/2006/custom-properties" xmlns:vt="http://schemas.openxmlformats.org/officeDocument/2006/docPropsVTypes"/>
</file>