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D4A9FA" w14:textId="67187618" w:rsidR="00F06BF8" w:rsidRDefault="00F06BF8" w:rsidP="22C56EB9">
      <w:pPr>
        <w:shd w:val="clear" w:color="auto" w:fill="FFFFFF" w:themeFill="background1"/>
        <w:spacing w:after="300"/>
        <w:jc w:val="center"/>
        <w:rPr>
          <w:rFonts w:ascii="system-ui" w:eastAsia="system-ui" w:hAnsi="system-ui" w:cs="system-ui"/>
          <w:b/>
          <w:bCs/>
          <w:color w:val="0D0D0D" w:themeColor="text1" w:themeTint="F2"/>
          <w:sz w:val="40"/>
          <w:szCs w:val="40"/>
        </w:rPr>
      </w:pPr>
    </w:p>
    <w:p w14:paraId="2793BEE8" w14:textId="10EE7728" w:rsidR="00F06BF8" w:rsidRDefault="00F06BF8" w:rsidP="22C56EB9">
      <w:pPr>
        <w:shd w:val="clear" w:color="auto" w:fill="FFFFFF" w:themeFill="background1"/>
        <w:spacing w:after="300"/>
        <w:jc w:val="center"/>
        <w:rPr>
          <w:rFonts w:ascii="system-ui" w:eastAsia="system-ui" w:hAnsi="system-ui" w:cs="system-ui"/>
          <w:b/>
          <w:bCs/>
          <w:color w:val="0D0D0D" w:themeColor="text1" w:themeTint="F2"/>
          <w:sz w:val="40"/>
          <w:szCs w:val="40"/>
        </w:rPr>
      </w:pPr>
    </w:p>
    <w:p w14:paraId="414B4242" w14:textId="7A692E9F" w:rsidR="00F06BF8" w:rsidRDefault="00F06BF8" w:rsidP="22C56EB9">
      <w:pPr>
        <w:shd w:val="clear" w:color="auto" w:fill="FFFFFF" w:themeFill="background1"/>
        <w:spacing w:after="300"/>
        <w:jc w:val="center"/>
        <w:rPr>
          <w:rFonts w:ascii="system-ui" w:eastAsia="system-ui" w:hAnsi="system-ui" w:cs="system-ui"/>
          <w:b/>
          <w:bCs/>
          <w:color w:val="0D0D0D" w:themeColor="text1" w:themeTint="F2"/>
          <w:sz w:val="40"/>
          <w:szCs w:val="40"/>
        </w:rPr>
      </w:pPr>
    </w:p>
    <w:p w14:paraId="6DE586B3" w14:textId="2C18BB6C" w:rsidR="00F06BF8" w:rsidRDefault="00F06BF8" w:rsidP="22C56EB9">
      <w:pPr>
        <w:shd w:val="clear" w:color="auto" w:fill="FFFFFF" w:themeFill="background1"/>
        <w:spacing w:after="300"/>
        <w:jc w:val="center"/>
        <w:rPr>
          <w:rFonts w:ascii="system-ui" w:eastAsia="system-ui" w:hAnsi="system-ui" w:cs="system-ui"/>
          <w:b/>
          <w:bCs/>
          <w:color w:val="0D0D0D" w:themeColor="text1" w:themeTint="F2"/>
          <w:sz w:val="40"/>
          <w:szCs w:val="40"/>
        </w:rPr>
      </w:pPr>
    </w:p>
    <w:p w14:paraId="01E3B4EE" w14:textId="2F3EE364" w:rsidR="00F06BF8" w:rsidRDefault="00F06BF8" w:rsidP="22C56EB9">
      <w:pPr>
        <w:shd w:val="clear" w:color="auto" w:fill="FFFFFF" w:themeFill="background1"/>
        <w:spacing w:after="300"/>
        <w:jc w:val="center"/>
        <w:rPr>
          <w:rFonts w:ascii="system-ui" w:eastAsia="system-ui" w:hAnsi="system-ui" w:cs="system-ui"/>
          <w:b/>
          <w:bCs/>
          <w:color w:val="0D0D0D" w:themeColor="text1" w:themeTint="F2"/>
          <w:sz w:val="40"/>
          <w:szCs w:val="40"/>
        </w:rPr>
      </w:pPr>
    </w:p>
    <w:p w14:paraId="5B03319E" w14:textId="468F5C31" w:rsidR="00F06BF8" w:rsidRDefault="22C56EB9" w:rsidP="22C56EB9">
      <w:pPr>
        <w:shd w:val="clear" w:color="auto" w:fill="FFFFFF" w:themeFill="background1"/>
        <w:spacing w:after="300"/>
        <w:jc w:val="center"/>
        <w:rPr>
          <w:rFonts w:ascii="system-ui" w:eastAsia="system-ui" w:hAnsi="system-ui" w:cs="system-ui"/>
          <w:b/>
          <w:bCs/>
          <w:color w:val="0D0D0D" w:themeColor="text1" w:themeTint="F2"/>
          <w:sz w:val="40"/>
          <w:szCs w:val="40"/>
        </w:rPr>
      </w:pPr>
      <w:r w:rsidRPr="22C56EB9">
        <w:rPr>
          <w:rFonts w:ascii="system-ui" w:eastAsia="system-ui" w:hAnsi="system-ui" w:cs="system-ui"/>
          <w:b/>
          <w:bCs/>
          <w:color w:val="0D0D0D" w:themeColor="text1" w:themeTint="F2"/>
          <w:sz w:val="40"/>
          <w:szCs w:val="40"/>
        </w:rPr>
        <w:t>BBA VII- 2024, CCT</w:t>
      </w:r>
    </w:p>
    <w:p w14:paraId="30BD2B62" w14:textId="59D94126" w:rsidR="00F06BF8" w:rsidRDefault="22C56EB9" w:rsidP="22C56EB9">
      <w:pPr>
        <w:shd w:val="clear" w:color="auto" w:fill="FFFFFF" w:themeFill="background1"/>
        <w:spacing w:after="300"/>
        <w:jc w:val="center"/>
        <w:rPr>
          <w:rFonts w:ascii="system-ui" w:eastAsia="system-ui" w:hAnsi="system-ui" w:cs="system-ui"/>
          <w:b/>
          <w:bCs/>
          <w:color w:val="0D0D0D" w:themeColor="text1" w:themeTint="F2"/>
          <w:sz w:val="40"/>
          <w:szCs w:val="40"/>
        </w:rPr>
      </w:pPr>
      <w:r w:rsidRPr="22C56EB9">
        <w:rPr>
          <w:rFonts w:ascii="system-ui" w:eastAsia="system-ui" w:hAnsi="system-ui" w:cs="system-ui"/>
          <w:b/>
          <w:bCs/>
          <w:color w:val="0D0D0D" w:themeColor="text1" w:themeTint="F2"/>
          <w:sz w:val="40"/>
          <w:szCs w:val="40"/>
        </w:rPr>
        <w:t>Management of Technology</w:t>
      </w:r>
    </w:p>
    <w:p w14:paraId="239423C2" w14:textId="049C620B"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068A751A" w14:textId="5F5761CA"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310B32EE" w14:textId="7D78F993"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61B71E09" w14:textId="3BAEC3F8"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0152A792" w14:textId="3742248D"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113DE463" w14:textId="526791CD"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531790D3" w14:textId="3423BE7C"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108BB6B9" w14:textId="714F5618"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36BB087B" w14:textId="57C867D2"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339B7D4C" w14:textId="111A45DA"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148D617E" w14:textId="0A5E3730"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34D94BE8" w14:textId="3D76AA7D"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535D61CB" w14:textId="49F0C46B"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26985CA6" w14:textId="5E48F666"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72122BB4" w14:textId="175DCF19"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3C194752" w14:textId="6EA9B364"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072289CE" w14:textId="1EEEAF5E"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30B9635D" w14:textId="1B19C52A"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647ED19E" w14:textId="6396CD05" w:rsidR="00F06BF8" w:rsidRPr="00BE7177" w:rsidRDefault="00F06BF8" w:rsidP="22C56EB9">
      <w:pPr>
        <w:shd w:val="clear" w:color="auto" w:fill="FFFFFF" w:themeFill="background1"/>
        <w:spacing w:after="0"/>
        <w:rPr>
          <w:rFonts w:ascii="Times New Roman" w:eastAsia="system-ui" w:hAnsi="Times New Roman" w:cs="Times New Roman"/>
          <w:b/>
          <w:bCs/>
          <w:color w:val="0D0D0D" w:themeColor="text1" w:themeTint="F2"/>
          <w:sz w:val="36"/>
        </w:rPr>
      </w:pPr>
      <w:bookmarkStart w:id="0" w:name="_GoBack"/>
      <w:bookmarkEnd w:id="0"/>
    </w:p>
    <w:p w14:paraId="02B1CB6A" w14:textId="0E1983F0" w:rsidR="00F06BF8" w:rsidRPr="00BE7177" w:rsidRDefault="00BE7177" w:rsidP="22C56EB9">
      <w:pPr>
        <w:shd w:val="clear" w:color="auto" w:fill="FFFFFF" w:themeFill="background1"/>
        <w:spacing w:after="0"/>
        <w:rPr>
          <w:rFonts w:ascii="Times New Roman" w:eastAsia="system-ui" w:hAnsi="Times New Roman" w:cs="Times New Roman"/>
          <w:b/>
          <w:bCs/>
          <w:color w:val="0D0D0D" w:themeColor="text1" w:themeTint="F2"/>
          <w:sz w:val="36"/>
        </w:rPr>
      </w:pPr>
      <w:r w:rsidRPr="00BE7177">
        <w:rPr>
          <w:rFonts w:ascii="Times New Roman" w:hAnsi="Times New Roman" w:cs="Times New Roman"/>
          <w:b/>
          <w:sz w:val="36"/>
        </w:rPr>
        <w:t>Introduction and key concepts of technology management</w:t>
      </w:r>
    </w:p>
    <w:p w14:paraId="172BA87B" w14:textId="4DE4666D"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67CDD70A" w14:textId="78549B8D" w:rsidR="00F06BF8" w:rsidRDefault="00F06BF8" w:rsidP="22C56EB9">
      <w:pPr>
        <w:shd w:val="clear" w:color="auto" w:fill="FFFFFF" w:themeFill="background1"/>
        <w:spacing w:after="0"/>
        <w:rPr>
          <w:rFonts w:ascii="system-ui" w:eastAsia="system-ui" w:hAnsi="system-ui" w:cs="system-ui"/>
          <w:b/>
          <w:bCs/>
          <w:color w:val="0D0D0D" w:themeColor="text1" w:themeTint="F2"/>
        </w:rPr>
      </w:pPr>
    </w:p>
    <w:p w14:paraId="2DEC3B6D" w14:textId="2F727B4E" w:rsidR="00F06BF8" w:rsidRDefault="22C56EB9" w:rsidP="22C56EB9">
      <w:pPr>
        <w:shd w:val="clear" w:color="auto" w:fill="FFFFFF" w:themeFill="background1"/>
        <w:spacing w:after="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Management of Technology (MOT):</w:t>
      </w:r>
    </w:p>
    <w:p w14:paraId="642EE0FE" w14:textId="7165A67F" w:rsidR="00F06BF8" w:rsidRDefault="22C56EB9" w:rsidP="22C56EB9">
      <w:p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Management of Technology (MOT) refers to the strategic and operational processes involved in leveraging technological resources to achieve organizational goals effectively and efficiently.</w:t>
      </w:r>
    </w:p>
    <w:p w14:paraId="196BBCC1" w14:textId="61F6C27C" w:rsidR="00F06BF8" w:rsidRDefault="00F06BF8" w:rsidP="22C56EB9">
      <w:pPr>
        <w:shd w:val="clear" w:color="auto" w:fill="FFFFFF" w:themeFill="background1"/>
        <w:spacing w:after="0"/>
        <w:rPr>
          <w:rFonts w:ascii="system-ui" w:eastAsia="system-ui" w:hAnsi="system-ui" w:cs="system-ui"/>
          <w:color w:val="0D0D0D" w:themeColor="text1" w:themeTint="F2"/>
        </w:rPr>
      </w:pPr>
    </w:p>
    <w:p w14:paraId="5B2DD3B8" w14:textId="27C06D5D" w:rsidR="00F06BF8" w:rsidRDefault="22C56EB9" w:rsidP="22C56EB9">
      <w:pPr>
        <w:shd w:val="clear" w:color="auto" w:fill="FFFFFF" w:themeFill="background1"/>
        <w:spacing w:before="300" w:after="300"/>
      </w:pPr>
      <w:r w:rsidRPr="22C56EB9">
        <w:rPr>
          <w:rFonts w:ascii="system-ui" w:eastAsia="system-ui" w:hAnsi="system-ui" w:cs="system-ui"/>
          <w:b/>
          <w:bCs/>
          <w:color w:val="0D0D0D" w:themeColor="text1" w:themeTint="F2"/>
        </w:rPr>
        <w:lastRenderedPageBreak/>
        <w:t>Purpose:</w:t>
      </w:r>
    </w:p>
    <w:p w14:paraId="63A986DC" w14:textId="020076DE"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To strategically leverage technological resources to achieve organizational objectives.</w:t>
      </w:r>
    </w:p>
    <w:p w14:paraId="23532745" w14:textId="34824895"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To foster innovation and maintain competitiveness in a rapidly evolving technological landscape.</w:t>
      </w:r>
    </w:p>
    <w:p w14:paraId="360D1E68" w14:textId="1CAAA569" w:rsidR="00F06BF8" w:rsidRDefault="22C56EB9" w:rsidP="22C56EB9">
      <w:pPr>
        <w:shd w:val="clear" w:color="auto" w:fill="FFFFFF" w:themeFill="background1"/>
        <w:spacing w:before="300" w:after="300"/>
      </w:pPr>
      <w:r w:rsidRPr="22C56EB9">
        <w:rPr>
          <w:rFonts w:ascii="system-ui" w:eastAsia="system-ui" w:hAnsi="system-ui" w:cs="system-ui"/>
          <w:b/>
          <w:bCs/>
          <w:color w:val="0D0D0D" w:themeColor="text1" w:themeTint="F2"/>
        </w:rPr>
        <w:t>Application:</w:t>
      </w:r>
    </w:p>
    <w:p w14:paraId="7E9A2A93" w14:textId="1F1A2CC0"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In industries such as IT, automotive, healthcare, and manufacturing.</w:t>
      </w:r>
    </w:p>
    <w:p w14:paraId="7B02D527" w14:textId="5B1601DC"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In developing and implementing technology strategies, assessing and selecting technologies, managing innovation processes, and allocating resources.</w:t>
      </w:r>
    </w:p>
    <w:p w14:paraId="46E03482" w14:textId="7AF9BC19" w:rsidR="00F06BF8" w:rsidRDefault="22C56EB9" w:rsidP="22C56EB9">
      <w:pPr>
        <w:shd w:val="clear" w:color="auto" w:fill="FFFFFF" w:themeFill="background1"/>
        <w:spacing w:before="300" w:after="300"/>
      </w:pPr>
      <w:r w:rsidRPr="22C56EB9">
        <w:rPr>
          <w:rFonts w:ascii="system-ui" w:eastAsia="system-ui" w:hAnsi="system-ui" w:cs="system-ui"/>
          <w:b/>
          <w:bCs/>
          <w:color w:val="0D0D0D" w:themeColor="text1" w:themeTint="F2"/>
        </w:rPr>
        <w:t>Advantages:</w:t>
      </w:r>
    </w:p>
    <w:p w14:paraId="01D855D0" w14:textId="5E8CE823"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Enhances organizational efficiency and productivity through the effective use of technology.</w:t>
      </w:r>
    </w:p>
    <w:p w14:paraId="53B9FA9E" w14:textId="4DE6F412"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Facilitates innovation and enables organizations to stay competitive in the market.</w:t>
      </w:r>
    </w:p>
    <w:p w14:paraId="68725049" w14:textId="0259E5F5"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Improves decision-making by providing insights into technological trends and opportunities.</w:t>
      </w:r>
    </w:p>
    <w:p w14:paraId="1198FC38" w14:textId="3AB05B17"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Supports sustainable growth and development by leveraging technological advancements.</w:t>
      </w:r>
    </w:p>
    <w:p w14:paraId="7F23EC31" w14:textId="36D29D5B" w:rsidR="00F06BF8" w:rsidRDefault="00F06BF8" w:rsidP="22C56EB9">
      <w:pPr>
        <w:shd w:val="clear" w:color="auto" w:fill="FFFFFF" w:themeFill="background1"/>
        <w:spacing w:before="300" w:after="300"/>
        <w:rPr>
          <w:rFonts w:ascii="system-ui" w:eastAsia="system-ui" w:hAnsi="system-ui" w:cs="system-ui"/>
          <w:b/>
          <w:bCs/>
          <w:color w:val="0D0D0D" w:themeColor="text1" w:themeTint="F2"/>
        </w:rPr>
      </w:pPr>
    </w:p>
    <w:p w14:paraId="51966877" w14:textId="6D7A2F07" w:rsidR="00F06BF8" w:rsidRDefault="22C56EB9" w:rsidP="22C56EB9">
      <w:pPr>
        <w:shd w:val="clear" w:color="auto" w:fill="FFFFFF" w:themeFill="background1"/>
        <w:spacing w:before="300" w:after="300"/>
      </w:pPr>
      <w:r w:rsidRPr="22C56EB9">
        <w:rPr>
          <w:rFonts w:ascii="system-ui" w:eastAsia="system-ui" w:hAnsi="system-ui" w:cs="system-ui"/>
          <w:b/>
          <w:bCs/>
          <w:color w:val="0D0D0D" w:themeColor="text1" w:themeTint="F2"/>
        </w:rPr>
        <w:t>Disadvantages:</w:t>
      </w:r>
    </w:p>
    <w:p w14:paraId="73647709" w14:textId="3B4531EF"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Requires significant investment in resources (financial, human, and technological).</w:t>
      </w:r>
    </w:p>
    <w:p w14:paraId="3ECC8F8A" w14:textId="6357E257"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May lead to resistance to change among employees, requiring effective change management strategies.</w:t>
      </w:r>
    </w:p>
    <w:p w14:paraId="34F221C5" w14:textId="40A714CF"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Rapid technological advancements can make it challenging to keep up with the pace of change.</w:t>
      </w:r>
    </w:p>
    <w:p w14:paraId="20A23656" w14:textId="535DD0DE" w:rsidR="00F06BF8" w:rsidRDefault="22C56EB9" w:rsidP="22C56EB9">
      <w:pPr>
        <w:pStyle w:val="ListParagraph"/>
        <w:numPr>
          <w:ilvl w:val="0"/>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Ethical and social implications of technology may pose challenges in decision-making and implementation.</w:t>
      </w:r>
    </w:p>
    <w:p w14:paraId="360C1CEB" w14:textId="2C8C7AED" w:rsidR="00F06BF8" w:rsidRDefault="00F06BF8" w:rsidP="22C56EB9">
      <w:pPr>
        <w:shd w:val="clear" w:color="auto" w:fill="FFFFFF" w:themeFill="background1"/>
        <w:spacing w:after="0"/>
        <w:rPr>
          <w:rFonts w:ascii="system-ui" w:eastAsia="system-ui" w:hAnsi="system-ui" w:cs="system-ui"/>
          <w:color w:val="0D0D0D" w:themeColor="text1" w:themeTint="F2"/>
        </w:rPr>
      </w:pPr>
    </w:p>
    <w:p w14:paraId="1D8104EC" w14:textId="69D69C02" w:rsidR="00F06BF8" w:rsidRDefault="00F06BF8" w:rsidP="22C56EB9">
      <w:pPr>
        <w:shd w:val="clear" w:color="auto" w:fill="FFFFFF" w:themeFill="background1"/>
        <w:spacing w:after="0"/>
        <w:rPr>
          <w:rFonts w:ascii="system-ui" w:eastAsia="system-ui" w:hAnsi="system-ui" w:cs="system-ui"/>
          <w:color w:val="0D0D0D" w:themeColor="text1" w:themeTint="F2"/>
        </w:rPr>
      </w:pPr>
    </w:p>
    <w:p w14:paraId="46A846E6" w14:textId="74244751" w:rsidR="00F06BF8" w:rsidRDefault="00F06BF8" w:rsidP="22C56EB9">
      <w:pPr>
        <w:shd w:val="clear" w:color="auto" w:fill="FFFFFF" w:themeFill="background1"/>
        <w:spacing w:after="0"/>
        <w:rPr>
          <w:rFonts w:ascii="system-ui" w:eastAsia="system-ui" w:hAnsi="system-ui" w:cs="system-ui"/>
          <w:color w:val="0D0D0D" w:themeColor="text1" w:themeTint="F2"/>
        </w:rPr>
      </w:pPr>
    </w:p>
    <w:p w14:paraId="13E541F6" w14:textId="2C16DCC3" w:rsidR="00F06BF8" w:rsidRDefault="22C56EB9" w:rsidP="22C56EB9">
      <w:pPr>
        <w:shd w:val="clear" w:color="auto" w:fill="FFFFFF" w:themeFill="background1"/>
        <w:spacing w:after="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Key terms in Management of Technology</w:t>
      </w:r>
    </w:p>
    <w:p w14:paraId="1D6C5BDE" w14:textId="3E5785A2" w:rsidR="00F06BF8" w:rsidRDefault="00F06BF8" w:rsidP="22C56EB9">
      <w:pPr>
        <w:shd w:val="clear" w:color="auto" w:fill="FFFFFF" w:themeFill="background1"/>
        <w:spacing w:after="0"/>
        <w:rPr>
          <w:rFonts w:ascii="system-ui" w:eastAsia="system-ui" w:hAnsi="system-ui" w:cs="system-ui"/>
          <w:color w:val="0D0D0D" w:themeColor="text1" w:themeTint="F2"/>
        </w:rPr>
      </w:pPr>
    </w:p>
    <w:p w14:paraId="4B746D07" w14:textId="4D9AF7C7" w:rsidR="00F06BF8" w:rsidRDefault="22C56EB9" w:rsidP="22C56EB9">
      <w:pPr>
        <w:pStyle w:val="ListParagraph"/>
        <w:numPr>
          <w:ilvl w:val="0"/>
          <w:numId w:val="3"/>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Integration of Management and Technology:</w:t>
      </w:r>
      <w:r w:rsidRPr="22C56EB9">
        <w:rPr>
          <w:rFonts w:ascii="system-ui" w:eastAsia="system-ui" w:hAnsi="system-ui" w:cs="system-ui"/>
          <w:color w:val="0D0D0D" w:themeColor="text1" w:themeTint="F2"/>
        </w:rPr>
        <w:t xml:space="preserve"> MOT bridges the gap between traditional management principles and the rapidly evolving technological landscape. It involves applying management principles to technology-related activities and vice versa.</w:t>
      </w:r>
    </w:p>
    <w:p w14:paraId="09EB8F58" w14:textId="4BF92A9B" w:rsidR="00F06BF8" w:rsidRDefault="00F06BF8" w:rsidP="22C56EB9">
      <w:pPr>
        <w:shd w:val="clear" w:color="auto" w:fill="FFFFFF" w:themeFill="background1"/>
        <w:spacing w:after="0"/>
        <w:rPr>
          <w:rFonts w:ascii="system-ui" w:eastAsia="system-ui" w:hAnsi="system-ui" w:cs="system-ui"/>
          <w:color w:val="0D0D0D" w:themeColor="text1" w:themeTint="F2"/>
        </w:rPr>
      </w:pPr>
    </w:p>
    <w:p w14:paraId="11C21F5E" w14:textId="62B223C9"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Strategic Planning:</w:t>
      </w:r>
      <w:r w:rsidRPr="22C56EB9">
        <w:rPr>
          <w:rFonts w:ascii="system-ui" w:eastAsia="system-ui" w:hAnsi="system-ui" w:cs="system-ui"/>
          <w:color w:val="0D0D0D" w:themeColor="text1" w:themeTint="F2"/>
        </w:rPr>
        <w:t xml:space="preserve"> MOT involves strategic planning to align technological capabilities with organizational objectives. This includes identifying technological trends, assessing competitive advantages, and developing plans to leverage technology for business success.</w:t>
      </w:r>
    </w:p>
    <w:p w14:paraId="76CD4544" w14:textId="057CE3DA" w:rsidR="00F06BF8" w:rsidRDefault="00F06BF8" w:rsidP="22C56EB9">
      <w:pPr>
        <w:shd w:val="clear" w:color="auto" w:fill="FFFFFF" w:themeFill="background1"/>
        <w:spacing w:after="0"/>
        <w:jc w:val="both"/>
        <w:rPr>
          <w:rFonts w:ascii="system-ui" w:eastAsia="system-ui" w:hAnsi="system-ui" w:cs="system-ui"/>
          <w:color w:val="0D0D0D" w:themeColor="text1" w:themeTint="F2"/>
        </w:rPr>
      </w:pPr>
    </w:p>
    <w:p w14:paraId="48882982" w14:textId="13E12CAF"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Innovation Management:</w:t>
      </w:r>
      <w:r w:rsidRPr="22C56EB9">
        <w:rPr>
          <w:rFonts w:ascii="system-ui" w:eastAsia="system-ui" w:hAnsi="system-ui" w:cs="system-ui"/>
          <w:color w:val="0D0D0D" w:themeColor="text1" w:themeTint="F2"/>
        </w:rPr>
        <w:t xml:space="preserve"> MOT emphasizes the management of innovation processes within organizations. This includes identifying opportunities for innovation, fostering a culture of creativity and experimentation, and managing the development and implementation of new technologies.</w:t>
      </w:r>
    </w:p>
    <w:p w14:paraId="331913E5" w14:textId="2961C304" w:rsidR="00F06BF8" w:rsidRDefault="00F06BF8" w:rsidP="22C56EB9">
      <w:pPr>
        <w:shd w:val="clear" w:color="auto" w:fill="FFFFFF" w:themeFill="background1"/>
        <w:spacing w:after="0"/>
        <w:jc w:val="both"/>
        <w:rPr>
          <w:rFonts w:ascii="system-ui" w:eastAsia="system-ui" w:hAnsi="system-ui" w:cs="system-ui"/>
          <w:color w:val="0D0D0D" w:themeColor="text1" w:themeTint="F2"/>
        </w:rPr>
      </w:pPr>
    </w:p>
    <w:p w14:paraId="0B144EF4" w14:textId="739A639F"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Resource Allocation:</w:t>
      </w:r>
      <w:r w:rsidRPr="22C56EB9">
        <w:rPr>
          <w:rFonts w:ascii="system-ui" w:eastAsia="system-ui" w:hAnsi="system-ui" w:cs="system-ui"/>
          <w:color w:val="0D0D0D" w:themeColor="text1" w:themeTint="F2"/>
        </w:rPr>
        <w:t xml:space="preserve"> Effective MOT requires the allocation of resources (financial, human, and technological) to support technological initiatives. This involves prioritizing projects, optimizing resource utilization, and managing risks associated with technological investments.</w:t>
      </w:r>
    </w:p>
    <w:p w14:paraId="6945DF9D" w14:textId="02D78917" w:rsidR="00F06BF8" w:rsidRDefault="00F06BF8" w:rsidP="22C56EB9">
      <w:pPr>
        <w:shd w:val="clear" w:color="auto" w:fill="FFFFFF" w:themeFill="background1"/>
        <w:spacing w:after="0"/>
        <w:jc w:val="both"/>
        <w:rPr>
          <w:rFonts w:ascii="system-ui" w:eastAsia="system-ui" w:hAnsi="system-ui" w:cs="system-ui"/>
          <w:color w:val="0D0D0D" w:themeColor="text1" w:themeTint="F2"/>
        </w:rPr>
      </w:pPr>
    </w:p>
    <w:p w14:paraId="208EF9AF" w14:textId="22BE1651"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Technology Assessment and Selection:</w:t>
      </w:r>
      <w:r w:rsidRPr="22C56EB9">
        <w:rPr>
          <w:rFonts w:ascii="system-ui" w:eastAsia="system-ui" w:hAnsi="system-ui" w:cs="system-ui"/>
          <w:color w:val="0D0D0D" w:themeColor="text1" w:themeTint="F2"/>
        </w:rPr>
        <w:t xml:space="preserve"> MOT involves evaluating and selecting appropriate technologies to support organizational goals. This includes assessing the feasibility, scalability, and compatibility of technologies, as well as considering factors such as cost, performance, and risk.</w:t>
      </w:r>
    </w:p>
    <w:p w14:paraId="7A09517A" w14:textId="30076310" w:rsidR="00F06BF8" w:rsidRDefault="00F06BF8" w:rsidP="22C56EB9">
      <w:pPr>
        <w:shd w:val="clear" w:color="auto" w:fill="FFFFFF" w:themeFill="background1"/>
        <w:spacing w:after="0"/>
        <w:jc w:val="both"/>
        <w:rPr>
          <w:rFonts w:ascii="system-ui" w:eastAsia="system-ui" w:hAnsi="system-ui" w:cs="system-ui"/>
          <w:color w:val="0D0D0D" w:themeColor="text1" w:themeTint="F2"/>
        </w:rPr>
      </w:pPr>
    </w:p>
    <w:p w14:paraId="1FE8E8DD" w14:textId="407B45A4"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Change Management:</w:t>
      </w:r>
      <w:r w:rsidRPr="22C56EB9">
        <w:rPr>
          <w:rFonts w:ascii="system-ui" w:eastAsia="system-ui" w:hAnsi="system-ui" w:cs="system-ui"/>
          <w:color w:val="0D0D0D" w:themeColor="text1" w:themeTint="F2"/>
        </w:rPr>
        <w:t xml:space="preserve"> Implementing new technologies often requires significant organizational change. MOT involves managing this change effectively, including communicating the rationale for change, addressing resistance, and providing training and support to employees.</w:t>
      </w:r>
    </w:p>
    <w:p w14:paraId="57E743B5" w14:textId="7EFC0452" w:rsidR="00F06BF8" w:rsidRDefault="00F06BF8" w:rsidP="22C56EB9">
      <w:pPr>
        <w:shd w:val="clear" w:color="auto" w:fill="FFFFFF" w:themeFill="background1"/>
        <w:spacing w:after="0"/>
        <w:jc w:val="both"/>
        <w:rPr>
          <w:rFonts w:ascii="system-ui" w:eastAsia="system-ui" w:hAnsi="system-ui" w:cs="system-ui"/>
          <w:color w:val="0D0D0D" w:themeColor="text1" w:themeTint="F2"/>
        </w:rPr>
      </w:pPr>
    </w:p>
    <w:p w14:paraId="27A42D08" w14:textId="5522591C"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Collaboration and Partnership:</w:t>
      </w:r>
      <w:r w:rsidRPr="22C56EB9">
        <w:rPr>
          <w:rFonts w:ascii="system-ui" w:eastAsia="system-ui" w:hAnsi="system-ui" w:cs="system-ui"/>
          <w:color w:val="0D0D0D" w:themeColor="text1" w:themeTint="F2"/>
        </w:rPr>
        <w:t xml:space="preserve"> In today's interconnected world, MOT often involves collaboration and partnership with external stakeholders such as suppliers, customers, and research institutions. This includes forming strategic alliances, sharing knowledge and resources, and co-developing new technologies.</w:t>
      </w:r>
    </w:p>
    <w:p w14:paraId="1982D1B5" w14:textId="22215F8E" w:rsidR="00F06BF8" w:rsidRDefault="00F06BF8" w:rsidP="22C56EB9">
      <w:pPr>
        <w:shd w:val="clear" w:color="auto" w:fill="FFFFFF" w:themeFill="background1"/>
        <w:spacing w:after="0"/>
        <w:jc w:val="both"/>
        <w:rPr>
          <w:rFonts w:ascii="system-ui" w:eastAsia="system-ui" w:hAnsi="system-ui" w:cs="system-ui"/>
          <w:color w:val="0D0D0D" w:themeColor="text1" w:themeTint="F2"/>
        </w:rPr>
      </w:pPr>
    </w:p>
    <w:p w14:paraId="5E4C396F" w14:textId="5F35CE7C"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Ethical and Social Considerations:</w:t>
      </w:r>
      <w:r w:rsidRPr="22C56EB9">
        <w:rPr>
          <w:rFonts w:ascii="system-ui" w:eastAsia="system-ui" w:hAnsi="system-ui" w:cs="system-ui"/>
          <w:color w:val="0D0D0D" w:themeColor="text1" w:themeTint="F2"/>
        </w:rPr>
        <w:t xml:space="preserve"> MOT encompasses ethical and social considerations related to technology, such as privacy, security, and environmental impact. It involves incorporating ethical principles into technological decision-making and addressing social implications of technological advancements.</w:t>
      </w:r>
    </w:p>
    <w:p w14:paraId="2038329B" w14:textId="2774DA8B" w:rsidR="00F06BF8" w:rsidRDefault="00F06BF8" w:rsidP="22C56EB9">
      <w:pPr>
        <w:shd w:val="clear" w:color="auto" w:fill="FFFFFF" w:themeFill="background1"/>
        <w:spacing w:after="0"/>
        <w:jc w:val="both"/>
        <w:rPr>
          <w:rFonts w:ascii="system-ui" w:eastAsia="system-ui" w:hAnsi="system-ui" w:cs="system-ui"/>
          <w:color w:val="0D0D0D" w:themeColor="text1" w:themeTint="F2"/>
        </w:rPr>
      </w:pPr>
    </w:p>
    <w:p w14:paraId="6A40DAE5" w14:textId="3EAD84FF" w:rsidR="00F06BF8" w:rsidRDefault="22C56EB9" w:rsidP="22C56EB9">
      <w:pPr>
        <w:pStyle w:val="ListParagraph"/>
        <w:numPr>
          <w:ilvl w:val="0"/>
          <w:numId w:val="3"/>
        </w:numPr>
        <w:shd w:val="clear" w:color="auto" w:fill="FFFFFF" w:themeFill="background1"/>
        <w:spacing w:after="0"/>
        <w:jc w:val="both"/>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Continuous Improvement:</w:t>
      </w:r>
      <w:r w:rsidRPr="22C56EB9">
        <w:rPr>
          <w:rFonts w:ascii="system-ui" w:eastAsia="system-ui" w:hAnsi="system-ui" w:cs="system-ui"/>
          <w:color w:val="0D0D0D" w:themeColor="text1" w:themeTint="F2"/>
        </w:rPr>
        <w:t xml:space="preserve"> MOT is an ongoing process of continuous improvement, adapting to changes in technology and the business environment. This includes monitoring technological trends, evaluating the effectiveness of technological initiatives, and </w:t>
      </w:r>
      <w:proofErr w:type="gramStart"/>
      <w:r w:rsidRPr="22C56EB9">
        <w:rPr>
          <w:rFonts w:ascii="system-ui" w:eastAsia="system-ui" w:hAnsi="system-ui" w:cs="system-ui"/>
          <w:color w:val="0D0D0D" w:themeColor="text1" w:themeTint="F2"/>
        </w:rPr>
        <w:t>making adjustments</w:t>
      </w:r>
      <w:proofErr w:type="gramEnd"/>
      <w:r w:rsidRPr="22C56EB9">
        <w:rPr>
          <w:rFonts w:ascii="system-ui" w:eastAsia="system-ui" w:hAnsi="system-ui" w:cs="system-ui"/>
          <w:color w:val="0D0D0D" w:themeColor="text1" w:themeTint="F2"/>
        </w:rPr>
        <w:t xml:space="preserve"> as needed to stay competitive.</w:t>
      </w:r>
    </w:p>
    <w:p w14:paraId="2C078E63" w14:textId="1C158555" w:rsidR="00F06BF8" w:rsidRDefault="00F06BF8" w:rsidP="22C56EB9">
      <w:pPr>
        <w:jc w:val="both"/>
      </w:pPr>
    </w:p>
    <w:p w14:paraId="6A963FFC" w14:textId="6A999895" w:rsidR="22C56EB9" w:rsidRDefault="22C56EB9" w:rsidP="22C56EB9"/>
    <w:p w14:paraId="22892322" w14:textId="277A34D5" w:rsidR="22C56EB9" w:rsidRDefault="22C56EB9" w:rsidP="22C56EB9"/>
    <w:p w14:paraId="1749E0DE" w14:textId="13D7DD9D" w:rsidR="22C56EB9" w:rsidRDefault="22C56EB9" w:rsidP="22C56EB9">
      <w:pPr>
        <w:shd w:val="clear" w:color="auto" w:fill="FFFFFF" w:themeFill="background1"/>
        <w:spacing w:after="300"/>
        <w:rPr>
          <w:rFonts w:ascii="system-ui" w:eastAsia="system-ui" w:hAnsi="system-ui" w:cs="system-ui"/>
          <w:b/>
          <w:bCs/>
          <w:color w:val="0D0D0D" w:themeColor="text1" w:themeTint="F2"/>
        </w:rPr>
      </w:pPr>
    </w:p>
    <w:p w14:paraId="4DF7D5C9" w14:textId="1B5FE46E" w:rsidR="22C56EB9" w:rsidRDefault="22C56EB9" w:rsidP="22C56EB9">
      <w:pPr>
        <w:shd w:val="clear" w:color="auto" w:fill="FFFFFF" w:themeFill="background1"/>
        <w:spacing w:after="300"/>
        <w:rPr>
          <w:rFonts w:ascii="system-ui" w:eastAsia="system-ui" w:hAnsi="system-ui" w:cs="system-ui"/>
          <w:b/>
          <w:bCs/>
          <w:color w:val="0D0D0D" w:themeColor="text1" w:themeTint="F2"/>
        </w:rPr>
      </w:pPr>
    </w:p>
    <w:p w14:paraId="2D638E82" w14:textId="7AB31BF0" w:rsidR="22C56EB9" w:rsidRDefault="22C56EB9" w:rsidP="22C56EB9">
      <w:pPr>
        <w:shd w:val="clear" w:color="auto" w:fill="FFFFFF" w:themeFill="background1"/>
        <w:spacing w:after="300"/>
      </w:pPr>
      <w:r w:rsidRPr="22C56EB9">
        <w:rPr>
          <w:rFonts w:ascii="system-ui" w:eastAsia="system-ui" w:hAnsi="system-ui" w:cs="system-ui"/>
          <w:b/>
          <w:bCs/>
          <w:color w:val="0D0D0D" w:themeColor="text1" w:themeTint="F2"/>
        </w:rPr>
        <w:t>Case Study: Management of Technology (MOT) in Nepal</w:t>
      </w:r>
    </w:p>
    <w:p w14:paraId="149C85C6" w14:textId="60BD1547" w:rsidR="22C56EB9" w:rsidRDefault="22C56EB9" w:rsidP="22C56EB9">
      <w:pPr>
        <w:shd w:val="clear" w:color="auto" w:fill="FFFFFF" w:themeFill="background1"/>
        <w:spacing w:before="300" w:after="300"/>
        <w:ind w:left="720"/>
      </w:pPr>
      <w:r w:rsidRPr="22C56EB9">
        <w:rPr>
          <w:rFonts w:ascii="system-ui" w:eastAsia="system-ui" w:hAnsi="system-ui" w:cs="system-ui"/>
          <w:b/>
          <w:bCs/>
          <w:color w:val="0D0D0D" w:themeColor="text1" w:themeTint="F2"/>
        </w:rPr>
        <w:t>Background:</w:t>
      </w:r>
      <w:r w:rsidRPr="22C56EB9">
        <w:rPr>
          <w:rFonts w:ascii="system-ui" w:eastAsia="system-ui" w:hAnsi="system-ui" w:cs="system-ui"/>
          <w:color w:val="0D0D0D" w:themeColor="text1" w:themeTint="F2"/>
        </w:rPr>
        <w:t xml:space="preserve"> Nepal, a landlocked country in South Asia, faces unique challenges and opportunities in managing technology due to its geographical constraints, socio-economic conditions, and developmental priorities.</w:t>
      </w:r>
    </w:p>
    <w:p w14:paraId="2D120B71" w14:textId="58B9474E" w:rsidR="22C56EB9" w:rsidRDefault="22C56EB9" w:rsidP="22C56EB9">
      <w:pPr>
        <w:shd w:val="clear" w:color="auto" w:fill="FFFFFF" w:themeFill="background1"/>
        <w:spacing w:before="300" w:after="300"/>
        <w:ind w:left="720"/>
      </w:pPr>
      <w:r>
        <w:rPr>
          <w:noProof/>
        </w:rPr>
        <w:drawing>
          <wp:inline distT="0" distB="0" distL="0" distR="0" wp14:anchorId="447ECE0C" wp14:editId="6D478F86">
            <wp:extent cx="3581400" cy="2439194"/>
            <wp:effectExtent l="0" t="0" r="0" b="0"/>
            <wp:docPr id="877106511" name="Picture 87710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581400" cy="2439194"/>
                    </a:xfrm>
                    <a:prstGeom prst="rect">
                      <a:avLst/>
                    </a:prstGeom>
                  </pic:spPr>
                </pic:pic>
              </a:graphicData>
            </a:graphic>
          </wp:inline>
        </w:drawing>
      </w:r>
      <w:r>
        <w:rPr>
          <w:noProof/>
        </w:rPr>
        <w:drawing>
          <wp:inline distT="0" distB="0" distL="0" distR="0" wp14:anchorId="2D73A576" wp14:editId="376DC272">
            <wp:extent cx="3162300" cy="2435379"/>
            <wp:effectExtent l="0" t="0" r="0" b="0"/>
            <wp:docPr id="1278988069" name="Picture 127898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162300" cy="2435379"/>
                    </a:xfrm>
                    <a:prstGeom prst="rect">
                      <a:avLst/>
                    </a:prstGeom>
                  </pic:spPr>
                </pic:pic>
              </a:graphicData>
            </a:graphic>
          </wp:inline>
        </w:drawing>
      </w:r>
    </w:p>
    <w:p w14:paraId="05CC641B" w14:textId="0646F466" w:rsidR="22C56EB9" w:rsidRDefault="22C56EB9" w:rsidP="22C56EB9">
      <w:pPr>
        <w:shd w:val="clear" w:color="auto" w:fill="FFFFFF" w:themeFill="background1"/>
        <w:spacing w:before="300" w:after="300"/>
        <w:ind w:left="720"/>
      </w:pPr>
      <w:r w:rsidRPr="22C56EB9">
        <w:rPr>
          <w:rFonts w:ascii="system-ui" w:eastAsia="system-ui" w:hAnsi="system-ui" w:cs="system-ui"/>
          <w:b/>
          <w:bCs/>
          <w:color w:val="0D0D0D" w:themeColor="text1" w:themeTint="F2"/>
        </w:rPr>
        <w:lastRenderedPageBreak/>
        <w:t>Scenario:</w:t>
      </w:r>
      <w:r w:rsidRPr="22C56EB9">
        <w:rPr>
          <w:rFonts w:ascii="system-ui" w:eastAsia="system-ui" w:hAnsi="system-ui" w:cs="system-ui"/>
          <w:color w:val="0D0D0D" w:themeColor="text1" w:themeTint="F2"/>
        </w:rPr>
        <w:t xml:space="preserve"> Let's consider a case study focusing on the management of renewable energy technology in Nepal, specifically the implementation of small-scale hydroelectric projects in rural areas.</w:t>
      </w:r>
    </w:p>
    <w:p w14:paraId="512C6F33" w14:textId="515D7180" w:rsidR="22C56EB9" w:rsidRDefault="22C56EB9" w:rsidP="22C56EB9">
      <w:pPr>
        <w:shd w:val="clear" w:color="auto" w:fill="FFFFFF" w:themeFill="background1"/>
        <w:spacing w:before="300" w:after="300"/>
        <w:ind w:left="720"/>
      </w:pPr>
      <w:r w:rsidRPr="22C56EB9">
        <w:rPr>
          <w:rFonts w:ascii="system-ui" w:eastAsia="system-ui" w:hAnsi="system-ui" w:cs="system-ui"/>
          <w:b/>
          <w:bCs/>
          <w:color w:val="0D0D0D" w:themeColor="text1" w:themeTint="F2"/>
        </w:rPr>
        <w:t>Key Elements:</w:t>
      </w:r>
    </w:p>
    <w:p w14:paraId="5A91F376" w14:textId="28776A53" w:rsidR="22C56EB9" w:rsidRDefault="22C56EB9" w:rsidP="22C56EB9">
      <w:pPr>
        <w:shd w:val="clear" w:color="auto" w:fill="FFFFFF" w:themeFill="background1"/>
        <w:spacing w:after="0"/>
        <w:ind w:left="72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Objective:</w:t>
      </w:r>
      <w:r w:rsidRPr="22C56EB9">
        <w:rPr>
          <w:rFonts w:ascii="system-ui" w:eastAsia="system-ui" w:hAnsi="system-ui" w:cs="system-ui"/>
          <w:color w:val="0D0D0D" w:themeColor="text1" w:themeTint="F2"/>
        </w:rPr>
        <w:t xml:space="preserve"> The objective is to address Nepal's energy crisis by harnessing its abundant water resources to generate electricity, particularly in rural areas where access to electricity is limited.</w:t>
      </w:r>
    </w:p>
    <w:p w14:paraId="26375AF0" w14:textId="76548638" w:rsidR="22C56EB9" w:rsidRDefault="22C56EB9" w:rsidP="22C56EB9">
      <w:pPr>
        <w:shd w:val="clear" w:color="auto" w:fill="FFFFFF" w:themeFill="background1"/>
        <w:spacing w:after="0"/>
        <w:ind w:left="720"/>
        <w:rPr>
          <w:rFonts w:ascii="system-ui" w:eastAsia="system-ui" w:hAnsi="system-ui" w:cs="system-ui"/>
          <w:b/>
          <w:bCs/>
          <w:color w:val="0D0D0D" w:themeColor="text1" w:themeTint="F2"/>
        </w:rPr>
      </w:pPr>
    </w:p>
    <w:p w14:paraId="6CD00096" w14:textId="15489BE1" w:rsidR="22C56EB9" w:rsidRDefault="22C56EB9" w:rsidP="22C56EB9">
      <w:pPr>
        <w:shd w:val="clear" w:color="auto" w:fill="FFFFFF" w:themeFill="background1"/>
        <w:spacing w:after="0"/>
        <w:ind w:left="72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Application of Technology:</w:t>
      </w:r>
      <w:r w:rsidRPr="22C56EB9">
        <w:rPr>
          <w:rFonts w:ascii="system-ui" w:eastAsia="system-ui" w:hAnsi="system-ui" w:cs="system-ui"/>
          <w:color w:val="0D0D0D" w:themeColor="text1" w:themeTint="F2"/>
        </w:rPr>
        <w:t xml:space="preserve"> Small-scale hydroelectric projects utilize local water resources to generate electricity, providing clean and sustainable energy to remote communities. These projects often involve the installation of micro or mini hydropower plants.</w:t>
      </w:r>
    </w:p>
    <w:p w14:paraId="1BD25B75" w14:textId="530FAEFE"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6363F7DD" w14:textId="345A4681" w:rsidR="22C56EB9" w:rsidRDefault="22C56EB9" w:rsidP="22C56EB9">
      <w:pPr>
        <w:shd w:val="clear" w:color="auto" w:fill="FFFFFF" w:themeFill="background1"/>
        <w:spacing w:after="0"/>
        <w:ind w:left="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Challenges:</w:t>
      </w:r>
    </w:p>
    <w:p w14:paraId="6B48F8BB" w14:textId="2EAC5824"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Technical Challenges:</w:t>
      </w:r>
      <w:r w:rsidRPr="22C56EB9">
        <w:rPr>
          <w:rFonts w:ascii="system-ui" w:eastAsia="system-ui" w:hAnsi="system-ui" w:cs="system-ui"/>
          <w:color w:val="0D0D0D" w:themeColor="text1" w:themeTint="F2"/>
        </w:rPr>
        <w:t xml:space="preserve"> The rugged terrain and variable water flow present technical challenges in designing and implementing hydropower projects.</w:t>
      </w:r>
    </w:p>
    <w:p w14:paraId="765AEE03" w14:textId="433DFC31"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Financial Constraints:</w:t>
      </w:r>
      <w:r w:rsidRPr="22C56EB9">
        <w:rPr>
          <w:rFonts w:ascii="system-ui" w:eastAsia="system-ui" w:hAnsi="system-ui" w:cs="system-ui"/>
          <w:color w:val="0D0D0D" w:themeColor="text1" w:themeTint="F2"/>
        </w:rPr>
        <w:t xml:space="preserve"> Limited financial resources and access to funding hinder the development of small-scale hydroelectric projects.</w:t>
      </w:r>
    </w:p>
    <w:p w14:paraId="60D12FC5" w14:textId="5F381719"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Regulatory Hurdles:</w:t>
      </w:r>
      <w:r w:rsidRPr="22C56EB9">
        <w:rPr>
          <w:rFonts w:ascii="system-ui" w:eastAsia="system-ui" w:hAnsi="system-ui" w:cs="system-ui"/>
          <w:color w:val="0D0D0D" w:themeColor="text1" w:themeTint="F2"/>
        </w:rPr>
        <w:t xml:space="preserve"> Complex regulatory processes and bureaucratic red tape delay project approvals and implementation.</w:t>
      </w:r>
    </w:p>
    <w:p w14:paraId="2AA29E56" w14:textId="03DA5601"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Community Engagement:</w:t>
      </w:r>
      <w:r w:rsidRPr="22C56EB9">
        <w:rPr>
          <w:rFonts w:ascii="system-ui" w:eastAsia="system-ui" w:hAnsi="system-ui" w:cs="system-ui"/>
          <w:color w:val="0D0D0D" w:themeColor="text1" w:themeTint="F2"/>
        </w:rPr>
        <w:t xml:space="preserve"> Engaging local communities and addressing their concerns about land acquisition, environmental impact, and socio-economic benefits is crucial but often challenging.</w:t>
      </w:r>
    </w:p>
    <w:p w14:paraId="0D08EC59" w14:textId="5C3DC47E"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1030260D" w14:textId="3410BE96" w:rsidR="22C56EB9" w:rsidRDefault="22C56EB9" w:rsidP="22C56EB9">
      <w:pPr>
        <w:shd w:val="clear" w:color="auto" w:fill="FFFFFF" w:themeFill="background1"/>
        <w:spacing w:after="0"/>
        <w:ind w:left="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Management Strategies:</w:t>
      </w:r>
    </w:p>
    <w:p w14:paraId="2041A7FC" w14:textId="5D5985AC"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Technology Assessment:</w:t>
      </w:r>
      <w:r w:rsidRPr="22C56EB9">
        <w:rPr>
          <w:rFonts w:ascii="system-ui" w:eastAsia="system-ui" w:hAnsi="system-ui" w:cs="system-ui"/>
          <w:color w:val="0D0D0D" w:themeColor="text1" w:themeTint="F2"/>
        </w:rPr>
        <w:t xml:space="preserve"> Conduct thorough assessments of available hydroelectric technologies and adapt them to suit the local context.</w:t>
      </w:r>
    </w:p>
    <w:p w14:paraId="7CDEEBC8" w14:textId="6A0B45DD"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Partnerships and Collaboration:</w:t>
      </w:r>
      <w:r w:rsidRPr="22C56EB9">
        <w:rPr>
          <w:rFonts w:ascii="system-ui" w:eastAsia="system-ui" w:hAnsi="system-ui" w:cs="system-ui"/>
          <w:color w:val="0D0D0D" w:themeColor="text1" w:themeTint="F2"/>
        </w:rPr>
        <w:t xml:space="preserve"> Form partnerships with international organizations, government agencies, NGOs, and local communities to leverage resources, expertise, and funding.</w:t>
      </w:r>
    </w:p>
    <w:p w14:paraId="7865CC30" w14:textId="3E520EAB"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Capacity Building:</w:t>
      </w:r>
      <w:r w:rsidRPr="22C56EB9">
        <w:rPr>
          <w:rFonts w:ascii="system-ui" w:eastAsia="system-ui" w:hAnsi="system-ui" w:cs="system-ui"/>
          <w:color w:val="0D0D0D" w:themeColor="text1" w:themeTint="F2"/>
        </w:rPr>
        <w:t xml:space="preserve"> Invest in training programs to enhance the technical skills of local engineers, technicians, and project managers involved in the implementation and maintenance of hydropower projects.</w:t>
      </w:r>
    </w:p>
    <w:p w14:paraId="46E72506" w14:textId="2E1B2D17"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b/>
          <w:bCs/>
          <w:color w:val="0D0D0D" w:themeColor="text1" w:themeTint="F2"/>
        </w:rPr>
        <w:t>Stakeholder Engagement:</w:t>
      </w:r>
      <w:r w:rsidRPr="22C56EB9">
        <w:rPr>
          <w:rFonts w:ascii="system-ui" w:eastAsia="system-ui" w:hAnsi="system-ui" w:cs="system-ui"/>
          <w:color w:val="0D0D0D" w:themeColor="text1" w:themeTint="F2"/>
        </w:rPr>
        <w:t xml:space="preserve"> Establish transparent communication channels and actively engage with local communities, government authorities, and other stakeholders to address concerns, build trust, and foster ownership of the projects.</w:t>
      </w:r>
    </w:p>
    <w:p w14:paraId="60A80B64" w14:textId="626238D1"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44692AE7" w14:textId="3FC38EDD" w:rsidR="22C56EB9" w:rsidRDefault="22C56EB9" w:rsidP="22C56EB9">
      <w:pPr>
        <w:shd w:val="clear" w:color="auto" w:fill="FFFFFF" w:themeFill="background1"/>
        <w:spacing w:after="0"/>
        <w:ind w:left="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Outcomes:</w:t>
      </w:r>
    </w:p>
    <w:p w14:paraId="20FF19FB" w14:textId="30290527"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Successful implementation of small-scale hydroelectric projects leads to increased access to electricity, improving the quality of life and socio-economic development in rural areas.</w:t>
      </w:r>
    </w:p>
    <w:p w14:paraId="48E9055C" w14:textId="74B1F3AA"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Reduced reliance on fossil fuels contributes to environmental sustainability and mitigates the impact of climate change.</w:t>
      </w:r>
    </w:p>
    <w:p w14:paraId="7F31B378" w14:textId="7842F2F8"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Enhanced technical capabilities and knowledge transfer stimulate local innovation and entrepreneurship in the renewable energy sector.</w:t>
      </w:r>
    </w:p>
    <w:p w14:paraId="58312A86" w14:textId="1C2AEEBD" w:rsidR="22C56EB9" w:rsidRDefault="22C56EB9" w:rsidP="22C56EB9">
      <w:pPr>
        <w:shd w:val="clear" w:color="auto" w:fill="FFFFFF" w:themeFill="background1"/>
        <w:spacing w:after="0"/>
        <w:ind w:left="720"/>
        <w:rPr>
          <w:rFonts w:ascii="system-ui" w:eastAsia="system-ui" w:hAnsi="system-ui" w:cs="system-ui"/>
          <w:b/>
          <w:bCs/>
          <w:color w:val="0D0D0D" w:themeColor="text1" w:themeTint="F2"/>
        </w:rPr>
      </w:pPr>
    </w:p>
    <w:p w14:paraId="3065E564" w14:textId="41FCE225" w:rsidR="22C56EB9" w:rsidRDefault="22C56EB9" w:rsidP="22C56EB9">
      <w:pPr>
        <w:shd w:val="clear" w:color="auto" w:fill="FFFFFF" w:themeFill="background1"/>
        <w:spacing w:after="0"/>
        <w:ind w:left="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Lessons Learned:</w:t>
      </w:r>
    </w:p>
    <w:p w14:paraId="4FC0AC7F" w14:textId="0A88FC79"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lastRenderedPageBreak/>
        <w:t>The importance of integrating technology management with socio-economic development goals.</w:t>
      </w:r>
    </w:p>
    <w:p w14:paraId="6A16A435" w14:textId="39559111"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The need for proactive government policies and regulatory reforms to facilitate technology adoption and investment in the renewable energy sector.</w:t>
      </w:r>
    </w:p>
    <w:p w14:paraId="115127E4" w14:textId="557980F8" w:rsidR="22C56EB9" w:rsidRDefault="22C56EB9" w:rsidP="22C56EB9">
      <w:pPr>
        <w:pStyle w:val="ListParagraph"/>
        <w:numPr>
          <w:ilvl w:val="2"/>
          <w:numId w:val="1"/>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The significance of community participation and empowerment in ensuring the success and sustainability of technology initiatives.</w:t>
      </w:r>
    </w:p>
    <w:p w14:paraId="4C43255E" w14:textId="55681940" w:rsidR="22C56EB9" w:rsidRDefault="22C56EB9" w:rsidP="22C56EB9">
      <w:pPr>
        <w:shd w:val="clear" w:color="auto" w:fill="FFFFFF" w:themeFill="background1"/>
        <w:spacing w:before="300" w:after="0"/>
        <w:ind w:left="720"/>
      </w:pPr>
      <w:r w:rsidRPr="22C56EB9">
        <w:rPr>
          <w:rFonts w:ascii="system-ui" w:eastAsia="system-ui" w:hAnsi="system-ui" w:cs="system-ui"/>
          <w:b/>
          <w:bCs/>
          <w:color w:val="0D0D0D" w:themeColor="text1" w:themeTint="F2"/>
        </w:rPr>
        <w:t>Conclusion:</w:t>
      </w:r>
      <w:r w:rsidRPr="22C56EB9">
        <w:rPr>
          <w:rFonts w:ascii="system-ui" w:eastAsia="system-ui" w:hAnsi="system-ui" w:cs="system-ui"/>
          <w:color w:val="0D0D0D" w:themeColor="text1" w:themeTint="F2"/>
        </w:rPr>
        <w:t xml:space="preserve"> The case study highlights the critical role of technology management in addressing socio-economic challenges and unlocking the potential of renewable energy in Nepal. By employing effective management strategies, Nepal can harness its natural resources to drive sustainable development and improve the quality of life for its citizens.</w:t>
      </w:r>
    </w:p>
    <w:p w14:paraId="303DAF0F" w14:textId="264705C1" w:rsidR="22C56EB9" w:rsidRDefault="22C56EB9" w:rsidP="22C56EB9"/>
    <w:p w14:paraId="5FE2E280" w14:textId="6CAFA6C1" w:rsidR="22C56EB9" w:rsidRDefault="22C56EB9" w:rsidP="22C56EB9"/>
    <w:p w14:paraId="2BC1C68D" w14:textId="1B940199" w:rsidR="22C56EB9" w:rsidRDefault="22C56EB9" w:rsidP="22C56EB9"/>
    <w:p w14:paraId="424B501C" w14:textId="672625F8" w:rsidR="22C56EB9" w:rsidRDefault="22C56EB9" w:rsidP="22C56EB9"/>
    <w:p w14:paraId="49DE22BC" w14:textId="434316B5" w:rsidR="22C56EB9" w:rsidRDefault="22C56EB9" w:rsidP="22C56EB9"/>
    <w:p w14:paraId="1EE4DCB8" w14:textId="51E6AE0E" w:rsidR="22C56EB9" w:rsidRDefault="22C56EB9" w:rsidP="22C56EB9"/>
    <w:p w14:paraId="280134F6" w14:textId="135A8B38" w:rsidR="22C56EB9" w:rsidRDefault="22C56EB9" w:rsidP="22C56EB9"/>
    <w:p w14:paraId="677ACC5A" w14:textId="61C77245" w:rsidR="22C56EB9" w:rsidRDefault="22C56EB9" w:rsidP="22C56EB9"/>
    <w:p w14:paraId="369D79D2" w14:textId="77ED76CB" w:rsidR="22C56EB9" w:rsidRDefault="22C56EB9" w:rsidP="22C56EB9"/>
    <w:p w14:paraId="17EAFE0C" w14:textId="0DBF107A" w:rsidR="22C56EB9" w:rsidRDefault="22C56EB9" w:rsidP="22C56EB9"/>
    <w:p w14:paraId="6F047B74" w14:textId="4B3DD936" w:rsidR="22C56EB9" w:rsidRDefault="22C56EB9" w:rsidP="22C56EB9"/>
    <w:p w14:paraId="556A0D75" w14:textId="55750CCE" w:rsidR="22C56EB9" w:rsidRDefault="22C56EB9" w:rsidP="22C56EB9"/>
    <w:p w14:paraId="40E91CEC" w14:textId="6D857257" w:rsidR="22C56EB9" w:rsidRDefault="22C56EB9" w:rsidP="22C56EB9"/>
    <w:p w14:paraId="43C37089" w14:textId="272DCC68" w:rsidR="22C56EB9" w:rsidRDefault="22C56EB9" w:rsidP="22C56EB9">
      <w:pPr>
        <w:shd w:val="clear" w:color="auto" w:fill="FFFFFF" w:themeFill="background1"/>
        <w:spacing w:after="300"/>
        <w:jc w:val="center"/>
        <w:rPr>
          <w:rFonts w:ascii="system-ui" w:eastAsia="system-ui" w:hAnsi="system-ui" w:cs="system-ui"/>
          <w:b/>
          <w:bCs/>
          <w:color w:val="0D0D0D" w:themeColor="text1" w:themeTint="F2"/>
          <w:sz w:val="36"/>
          <w:szCs w:val="36"/>
        </w:rPr>
      </w:pPr>
      <w:r w:rsidRPr="22C56EB9">
        <w:rPr>
          <w:rFonts w:ascii="system-ui" w:eastAsia="system-ui" w:hAnsi="system-ui" w:cs="system-ui"/>
          <w:b/>
          <w:bCs/>
          <w:color w:val="0D0D0D" w:themeColor="text1" w:themeTint="F2"/>
          <w:sz w:val="32"/>
          <w:szCs w:val="32"/>
        </w:rPr>
        <w:t>Introduction to Key Concepts of Technology Management</w:t>
      </w:r>
    </w:p>
    <w:p w14:paraId="6D797D9B" w14:textId="629A8BE0" w:rsidR="22C56EB9" w:rsidRDefault="22C56EB9" w:rsidP="22C56EB9">
      <w:pPr>
        <w:shd w:val="clear" w:color="auto" w:fill="FFFFFF" w:themeFill="background1"/>
        <w:spacing w:after="300"/>
        <w:jc w:val="center"/>
        <w:rPr>
          <w:rFonts w:ascii="system-ui" w:eastAsia="system-ui" w:hAnsi="system-ui" w:cs="system-ui"/>
          <w:color w:val="0D0D0D" w:themeColor="text1" w:themeTint="F2"/>
        </w:rPr>
      </w:pPr>
      <w:r>
        <w:rPr>
          <w:noProof/>
        </w:rPr>
        <w:drawing>
          <wp:inline distT="0" distB="0" distL="0" distR="0" wp14:anchorId="1E83C166" wp14:editId="64032F54">
            <wp:extent cx="2695575" cy="2475892"/>
            <wp:effectExtent l="0" t="0" r="0" b="0"/>
            <wp:docPr id="1729036689" name="Picture 172903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95575" cy="2475892"/>
                    </a:xfrm>
                    <a:prstGeom prst="rect">
                      <a:avLst/>
                    </a:prstGeom>
                  </pic:spPr>
                </pic:pic>
              </a:graphicData>
            </a:graphic>
          </wp:inline>
        </w:drawing>
      </w:r>
    </w:p>
    <w:p w14:paraId="5EEB3049" w14:textId="530554B1"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lastRenderedPageBreak/>
        <w:t>Innovation Management:</w:t>
      </w:r>
    </w:p>
    <w:p w14:paraId="17EE12B5" w14:textId="2659A43E"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The process of managing innovation within an organization to drive growth and competitive advantage.</w:t>
      </w:r>
    </w:p>
    <w:p w14:paraId="386128D0" w14:textId="732D6044"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Apple's introduction of the iPhone revolutionized the smartphone industry through its innovative combination of touchscreen technology, user-friendly interface, and app ecosystem.</w:t>
      </w:r>
    </w:p>
    <w:p w14:paraId="050CC1DC" w14:textId="2D7769DF"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56CBF1A9" w14:textId="2E6BB6DD"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Technology Strategy:</w:t>
      </w:r>
    </w:p>
    <w:p w14:paraId="0AB080D9" w14:textId="7D3CCEE1"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The formulation and implementation of plans to leverage technology for achieving organizational objectives.</w:t>
      </w:r>
    </w:p>
    <w:p w14:paraId="4D07E57C" w14:textId="6BE01E41"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Tesla's technology strategy focuses on developing electric vehicles with advanced autonomous driving capabilities to disrupt the automotive industry.</w:t>
      </w:r>
    </w:p>
    <w:p w14:paraId="68B5A150" w14:textId="2B0624D1"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1DB063A5" w14:textId="4A9D0C04"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Technology Assessment:</w:t>
      </w:r>
    </w:p>
    <w:p w14:paraId="4B411735" w14:textId="4055A5AB"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The evaluation of technologies to determine their suitability for adoption within an organization.</w:t>
      </w:r>
    </w:p>
    <w:p w14:paraId="61317AF3" w14:textId="4600A4EC"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Before implementing a new Customer Relationship Management (CRM) system, a company conducts technology assessments to compare different software options based on features, cost, and compatibility.</w:t>
      </w:r>
    </w:p>
    <w:p w14:paraId="2FFA4ED5" w14:textId="5AA04D89"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18EF8362" w14:textId="4F006A00"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Resource Allocation:</w:t>
      </w:r>
    </w:p>
    <w:p w14:paraId="2DEEFE13" w14:textId="7A955BE2"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The process of allocating resources (financial, human, and technological) to support technology initiatives.</w:t>
      </w:r>
    </w:p>
    <w:p w14:paraId="7D97A4A1" w14:textId="49E93577"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Google allocates a significant portion of its budget to research and development (R&amp;D) to fuel innovation and maintain its competitive edge in the technology market.</w:t>
      </w:r>
    </w:p>
    <w:p w14:paraId="13A5B28E" w14:textId="2036279B"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Change Management:</w:t>
      </w:r>
    </w:p>
    <w:p w14:paraId="76A5EBFE" w14:textId="5F62205F"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Managing the organizational changes associated with implementing new technologies.</w:t>
      </w:r>
    </w:p>
    <w:p w14:paraId="4F5828B2" w14:textId="18A4180D"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When Netflix transitioned from DVD rentals to online streaming, it implemented change management strategies to help employees adapt to new roles and processes.</w:t>
      </w:r>
    </w:p>
    <w:p w14:paraId="573E4547" w14:textId="4EC1D03D"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15F08CBC" w14:textId="26855A81"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Strategic Partnerships:</w:t>
      </w:r>
    </w:p>
    <w:p w14:paraId="751D6B00" w14:textId="15707E4A"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Collaborative relationships with external partners to enhance technological capabilities and competitiveness.</w:t>
      </w:r>
    </w:p>
    <w:p w14:paraId="346A584E" w14:textId="49865993"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IBM's partnership with Apple to develop enterprise applications for iOS devices combines IBM's expertise in enterprise software with Apple's user-friendly hardware and software ecosystem.</w:t>
      </w:r>
    </w:p>
    <w:p w14:paraId="74976D55" w14:textId="6C10872E"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p>
    <w:p w14:paraId="6D6A7F72" w14:textId="5F6F2857"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p>
    <w:p w14:paraId="6E7FDC90" w14:textId="392C657B"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Risk Management:</w:t>
      </w:r>
    </w:p>
    <w:p w14:paraId="1FC77950" w14:textId="4599C028"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Identifying, assessing, and mitigating risks associated with technology initiatives.</w:t>
      </w:r>
    </w:p>
    <w:p w14:paraId="07E822E8" w14:textId="2B734731"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Before launching a new product, Amazon conducts risk assessments to identify potential security vulnerabilities and implement safeguards to protect customer data.</w:t>
      </w:r>
    </w:p>
    <w:p w14:paraId="5FA348A9" w14:textId="11188C1B"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0D5ED00E" w14:textId="6D2E972F"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Ethical Considerations:</w:t>
      </w:r>
    </w:p>
    <w:p w14:paraId="56617738" w14:textId="29E4E7B0"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Considering ethical implications of technology-related decisions and actions.</w:t>
      </w:r>
    </w:p>
    <w:p w14:paraId="1C0CAA41" w14:textId="579D1A2A"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lastRenderedPageBreak/>
        <w:t>Example: Google's ethical principles include commitments to privacy, transparency, and avoiding the use of artificial intelligence for harm, influencing its development of products like Google Assistant and facial recognition technology.</w:t>
      </w:r>
    </w:p>
    <w:p w14:paraId="32045304" w14:textId="38DE029C" w:rsidR="22C56EB9" w:rsidRDefault="22C56EB9" w:rsidP="22C56EB9">
      <w:pPr>
        <w:shd w:val="clear" w:color="auto" w:fill="FFFFFF" w:themeFill="background1"/>
        <w:spacing w:after="0"/>
        <w:rPr>
          <w:rFonts w:ascii="system-ui" w:eastAsia="system-ui" w:hAnsi="system-ui" w:cs="system-ui"/>
          <w:b/>
          <w:bCs/>
          <w:color w:val="0D0D0D" w:themeColor="text1" w:themeTint="F2"/>
        </w:rPr>
      </w:pPr>
    </w:p>
    <w:p w14:paraId="2BD20E92" w14:textId="2A369CD2"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Continuous Improvement:</w:t>
      </w:r>
    </w:p>
    <w:p w14:paraId="5B5DCCA9" w14:textId="161B304E"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Iterative process of refining technology management practices to adapt to changing environments.</w:t>
      </w:r>
    </w:p>
    <w:p w14:paraId="58B30FA1" w14:textId="4C4A5C9F"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Toyota's continuous improvement philosophy, embodied in the Toyota Production System, emphasizes ongoing optimization of processes and technologies to enhance quality and efficiency.</w:t>
      </w:r>
    </w:p>
    <w:p w14:paraId="69D8B7D4" w14:textId="317575D9"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p>
    <w:p w14:paraId="5B897130" w14:textId="5296CB68" w:rsidR="22C56EB9" w:rsidRDefault="22C56EB9" w:rsidP="22C56EB9">
      <w:pPr>
        <w:shd w:val="clear" w:color="auto" w:fill="FFFFFF" w:themeFill="background1"/>
        <w:spacing w:after="0"/>
        <w:ind w:firstLine="720"/>
        <w:rPr>
          <w:rFonts w:ascii="system-ui" w:eastAsia="system-ui" w:hAnsi="system-ui" w:cs="system-ui"/>
          <w:b/>
          <w:bCs/>
          <w:color w:val="0D0D0D" w:themeColor="text1" w:themeTint="F2"/>
        </w:rPr>
      </w:pPr>
      <w:r w:rsidRPr="22C56EB9">
        <w:rPr>
          <w:rFonts w:ascii="system-ui" w:eastAsia="system-ui" w:hAnsi="system-ui" w:cs="system-ui"/>
          <w:b/>
          <w:bCs/>
          <w:color w:val="0D0D0D" w:themeColor="text1" w:themeTint="F2"/>
        </w:rPr>
        <w:t>Knowledge Management:</w:t>
      </w:r>
    </w:p>
    <w:p w14:paraId="29050FEC" w14:textId="15979DC4"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Definition: Managing the creation, dissemination, and utilization of knowledge within an organization to support technology-related activities.</w:t>
      </w:r>
    </w:p>
    <w:p w14:paraId="6F19447A" w14:textId="79745648" w:rsidR="22C56EB9" w:rsidRDefault="22C56EB9" w:rsidP="22C56EB9">
      <w:pPr>
        <w:pStyle w:val="ListParagraph"/>
        <w:numPr>
          <w:ilvl w:val="2"/>
          <w:numId w:val="2"/>
        </w:numPr>
        <w:shd w:val="clear" w:color="auto" w:fill="FFFFFF" w:themeFill="background1"/>
        <w:spacing w:after="0"/>
        <w:rPr>
          <w:rFonts w:ascii="system-ui" w:eastAsia="system-ui" w:hAnsi="system-ui" w:cs="system-ui"/>
          <w:color w:val="0D0D0D" w:themeColor="text1" w:themeTint="F2"/>
        </w:rPr>
      </w:pPr>
      <w:r w:rsidRPr="22C56EB9">
        <w:rPr>
          <w:rFonts w:ascii="system-ui" w:eastAsia="system-ui" w:hAnsi="system-ui" w:cs="system-ui"/>
          <w:color w:val="0D0D0D" w:themeColor="text1" w:themeTint="F2"/>
        </w:rPr>
        <w:t>Example: Wikipedia's collaborative platform enables users worldwide to share and access knowledge on a wide range of topics, demonstrating effective knowledge management in the digital age.</w:t>
      </w:r>
    </w:p>
    <w:p w14:paraId="53A272F0" w14:textId="2854007A" w:rsidR="22C56EB9" w:rsidRDefault="22C56EB9" w:rsidP="22C56EB9"/>
    <w:sectPr w:rsidR="22C56EB9">
      <w:pgSz w:w="12240" w:h="15840"/>
      <w:pgMar w:top="450" w:right="180" w:bottom="18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0003"/>
    <w:multiLevelType w:val="hybridMultilevel"/>
    <w:tmpl w:val="81367E4C"/>
    <w:lvl w:ilvl="0" w:tplc="A7CA8150">
      <w:start w:val="1"/>
      <w:numFmt w:val="bullet"/>
      <w:lvlText w:val=""/>
      <w:lvlJc w:val="left"/>
      <w:pPr>
        <w:ind w:left="720" w:hanging="360"/>
      </w:pPr>
      <w:rPr>
        <w:rFonts w:ascii="Symbol" w:hAnsi="Symbol" w:hint="default"/>
      </w:rPr>
    </w:lvl>
    <w:lvl w:ilvl="1" w:tplc="561CFC04">
      <w:start w:val="1"/>
      <w:numFmt w:val="bullet"/>
      <w:lvlText w:val="o"/>
      <w:lvlJc w:val="left"/>
      <w:pPr>
        <w:ind w:left="1440" w:hanging="360"/>
      </w:pPr>
      <w:rPr>
        <w:rFonts w:ascii="Courier New" w:hAnsi="Courier New" w:hint="default"/>
      </w:rPr>
    </w:lvl>
    <w:lvl w:ilvl="2" w:tplc="F2E616FA">
      <w:start w:val="1"/>
      <w:numFmt w:val="bullet"/>
      <w:lvlText w:val=""/>
      <w:lvlJc w:val="left"/>
      <w:pPr>
        <w:ind w:left="2160" w:hanging="360"/>
      </w:pPr>
      <w:rPr>
        <w:rFonts w:ascii="Wingdings" w:hAnsi="Wingdings" w:hint="default"/>
      </w:rPr>
    </w:lvl>
    <w:lvl w:ilvl="3" w:tplc="DC34368C">
      <w:start w:val="1"/>
      <w:numFmt w:val="bullet"/>
      <w:lvlText w:val=""/>
      <w:lvlJc w:val="left"/>
      <w:pPr>
        <w:ind w:left="2880" w:hanging="360"/>
      </w:pPr>
      <w:rPr>
        <w:rFonts w:ascii="Symbol" w:hAnsi="Symbol" w:hint="default"/>
      </w:rPr>
    </w:lvl>
    <w:lvl w:ilvl="4" w:tplc="12722044">
      <w:start w:val="1"/>
      <w:numFmt w:val="bullet"/>
      <w:lvlText w:val="o"/>
      <w:lvlJc w:val="left"/>
      <w:pPr>
        <w:ind w:left="3600" w:hanging="360"/>
      </w:pPr>
      <w:rPr>
        <w:rFonts w:ascii="Courier New" w:hAnsi="Courier New" w:hint="default"/>
      </w:rPr>
    </w:lvl>
    <w:lvl w:ilvl="5" w:tplc="42EE05B0">
      <w:start w:val="1"/>
      <w:numFmt w:val="bullet"/>
      <w:lvlText w:val=""/>
      <w:lvlJc w:val="left"/>
      <w:pPr>
        <w:ind w:left="4320" w:hanging="360"/>
      </w:pPr>
      <w:rPr>
        <w:rFonts w:ascii="Wingdings" w:hAnsi="Wingdings" w:hint="default"/>
      </w:rPr>
    </w:lvl>
    <w:lvl w:ilvl="6" w:tplc="71380876">
      <w:start w:val="1"/>
      <w:numFmt w:val="bullet"/>
      <w:lvlText w:val=""/>
      <w:lvlJc w:val="left"/>
      <w:pPr>
        <w:ind w:left="5040" w:hanging="360"/>
      </w:pPr>
      <w:rPr>
        <w:rFonts w:ascii="Symbol" w:hAnsi="Symbol" w:hint="default"/>
      </w:rPr>
    </w:lvl>
    <w:lvl w:ilvl="7" w:tplc="16809D30">
      <w:start w:val="1"/>
      <w:numFmt w:val="bullet"/>
      <w:lvlText w:val="o"/>
      <w:lvlJc w:val="left"/>
      <w:pPr>
        <w:ind w:left="5760" w:hanging="360"/>
      </w:pPr>
      <w:rPr>
        <w:rFonts w:ascii="Courier New" w:hAnsi="Courier New" w:hint="default"/>
      </w:rPr>
    </w:lvl>
    <w:lvl w:ilvl="8" w:tplc="C512EA96">
      <w:start w:val="1"/>
      <w:numFmt w:val="bullet"/>
      <w:lvlText w:val=""/>
      <w:lvlJc w:val="left"/>
      <w:pPr>
        <w:ind w:left="6480" w:hanging="360"/>
      </w:pPr>
      <w:rPr>
        <w:rFonts w:ascii="Wingdings" w:hAnsi="Wingdings" w:hint="default"/>
      </w:rPr>
    </w:lvl>
  </w:abstractNum>
  <w:abstractNum w:abstractNumId="1" w15:restartNumberingAfterBreak="0">
    <w:nsid w:val="0992BEA1"/>
    <w:multiLevelType w:val="hybridMultilevel"/>
    <w:tmpl w:val="2020AFE2"/>
    <w:lvl w:ilvl="0" w:tplc="046AB3EC">
      <w:start w:val="1"/>
      <w:numFmt w:val="bullet"/>
      <w:lvlText w:val=""/>
      <w:lvlJc w:val="left"/>
      <w:pPr>
        <w:ind w:left="720" w:hanging="360"/>
      </w:pPr>
      <w:rPr>
        <w:rFonts w:ascii="Symbol" w:hAnsi="Symbol" w:hint="default"/>
      </w:rPr>
    </w:lvl>
    <w:lvl w:ilvl="1" w:tplc="E7CE46BE">
      <w:start w:val="1"/>
      <w:numFmt w:val="bullet"/>
      <w:lvlText w:val=""/>
      <w:lvlJc w:val="left"/>
      <w:pPr>
        <w:ind w:left="1440" w:hanging="360"/>
      </w:pPr>
      <w:rPr>
        <w:rFonts w:ascii="Symbol" w:hAnsi="Symbol" w:hint="default"/>
      </w:rPr>
    </w:lvl>
    <w:lvl w:ilvl="2" w:tplc="41E09B6A">
      <w:start w:val="1"/>
      <w:numFmt w:val="bullet"/>
      <w:lvlText w:val=""/>
      <w:lvlJc w:val="left"/>
      <w:pPr>
        <w:ind w:left="2160" w:hanging="360"/>
      </w:pPr>
      <w:rPr>
        <w:rFonts w:ascii="Wingdings" w:hAnsi="Wingdings" w:hint="default"/>
      </w:rPr>
    </w:lvl>
    <w:lvl w:ilvl="3" w:tplc="A498EAD4">
      <w:start w:val="1"/>
      <w:numFmt w:val="bullet"/>
      <w:lvlText w:val=""/>
      <w:lvlJc w:val="left"/>
      <w:pPr>
        <w:ind w:left="2880" w:hanging="360"/>
      </w:pPr>
      <w:rPr>
        <w:rFonts w:ascii="Symbol" w:hAnsi="Symbol" w:hint="default"/>
      </w:rPr>
    </w:lvl>
    <w:lvl w:ilvl="4" w:tplc="81D2C6C8">
      <w:start w:val="1"/>
      <w:numFmt w:val="bullet"/>
      <w:lvlText w:val="o"/>
      <w:lvlJc w:val="left"/>
      <w:pPr>
        <w:ind w:left="3600" w:hanging="360"/>
      </w:pPr>
      <w:rPr>
        <w:rFonts w:ascii="Courier New" w:hAnsi="Courier New" w:hint="default"/>
      </w:rPr>
    </w:lvl>
    <w:lvl w:ilvl="5" w:tplc="9168E9D4">
      <w:start w:val="1"/>
      <w:numFmt w:val="bullet"/>
      <w:lvlText w:val=""/>
      <w:lvlJc w:val="left"/>
      <w:pPr>
        <w:ind w:left="4320" w:hanging="360"/>
      </w:pPr>
      <w:rPr>
        <w:rFonts w:ascii="Wingdings" w:hAnsi="Wingdings" w:hint="default"/>
      </w:rPr>
    </w:lvl>
    <w:lvl w:ilvl="6" w:tplc="08867024">
      <w:start w:val="1"/>
      <w:numFmt w:val="bullet"/>
      <w:lvlText w:val=""/>
      <w:lvlJc w:val="left"/>
      <w:pPr>
        <w:ind w:left="5040" w:hanging="360"/>
      </w:pPr>
      <w:rPr>
        <w:rFonts w:ascii="Symbol" w:hAnsi="Symbol" w:hint="default"/>
      </w:rPr>
    </w:lvl>
    <w:lvl w:ilvl="7" w:tplc="90B0390A">
      <w:start w:val="1"/>
      <w:numFmt w:val="bullet"/>
      <w:lvlText w:val="o"/>
      <w:lvlJc w:val="left"/>
      <w:pPr>
        <w:ind w:left="5760" w:hanging="360"/>
      </w:pPr>
      <w:rPr>
        <w:rFonts w:ascii="Courier New" w:hAnsi="Courier New" w:hint="default"/>
      </w:rPr>
    </w:lvl>
    <w:lvl w:ilvl="8" w:tplc="C60C56D4">
      <w:start w:val="1"/>
      <w:numFmt w:val="bullet"/>
      <w:lvlText w:val=""/>
      <w:lvlJc w:val="left"/>
      <w:pPr>
        <w:ind w:left="6480" w:hanging="360"/>
      </w:pPr>
      <w:rPr>
        <w:rFonts w:ascii="Wingdings" w:hAnsi="Wingdings" w:hint="default"/>
      </w:rPr>
    </w:lvl>
  </w:abstractNum>
  <w:abstractNum w:abstractNumId="2" w15:restartNumberingAfterBreak="0">
    <w:nsid w:val="53A9F376"/>
    <w:multiLevelType w:val="hybridMultilevel"/>
    <w:tmpl w:val="99248F00"/>
    <w:lvl w:ilvl="0" w:tplc="9438AED6">
      <w:start w:val="1"/>
      <w:numFmt w:val="decimal"/>
      <w:lvlText w:val="%1."/>
      <w:lvlJc w:val="left"/>
      <w:pPr>
        <w:ind w:left="720" w:hanging="360"/>
      </w:pPr>
    </w:lvl>
    <w:lvl w:ilvl="1" w:tplc="F5543B90">
      <w:start w:val="1"/>
      <w:numFmt w:val="lowerLetter"/>
      <w:lvlText w:val="%2."/>
      <w:lvlJc w:val="left"/>
      <w:pPr>
        <w:ind w:left="1440" w:hanging="360"/>
      </w:pPr>
    </w:lvl>
    <w:lvl w:ilvl="2" w:tplc="57803976">
      <w:start w:val="1"/>
      <w:numFmt w:val="lowerRoman"/>
      <w:lvlText w:val="%3."/>
      <w:lvlJc w:val="right"/>
      <w:pPr>
        <w:ind w:left="2160" w:hanging="180"/>
      </w:pPr>
    </w:lvl>
    <w:lvl w:ilvl="3" w:tplc="D3C0135E">
      <w:start w:val="1"/>
      <w:numFmt w:val="decimal"/>
      <w:lvlText w:val="%4."/>
      <w:lvlJc w:val="left"/>
      <w:pPr>
        <w:ind w:left="2880" w:hanging="360"/>
      </w:pPr>
    </w:lvl>
    <w:lvl w:ilvl="4" w:tplc="62D64BEC">
      <w:start w:val="1"/>
      <w:numFmt w:val="lowerLetter"/>
      <w:lvlText w:val="%5."/>
      <w:lvlJc w:val="left"/>
      <w:pPr>
        <w:ind w:left="3600" w:hanging="360"/>
      </w:pPr>
    </w:lvl>
    <w:lvl w:ilvl="5" w:tplc="1AE07710">
      <w:start w:val="1"/>
      <w:numFmt w:val="lowerRoman"/>
      <w:lvlText w:val="%6."/>
      <w:lvlJc w:val="right"/>
      <w:pPr>
        <w:ind w:left="4320" w:hanging="180"/>
      </w:pPr>
    </w:lvl>
    <w:lvl w:ilvl="6" w:tplc="3C88848E">
      <w:start w:val="1"/>
      <w:numFmt w:val="decimal"/>
      <w:lvlText w:val="%7."/>
      <w:lvlJc w:val="left"/>
      <w:pPr>
        <w:ind w:left="5040" w:hanging="360"/>
      </w:pPr>
    </w:lvl>
    <w:lvl w:ilvl="7" w:tplc="C5F03B84">
      <w:start w:val="1"/>
      <w:numFmt w:val="lowerLetter"/>
      <w:lvlText w:val="%8."/>
      <w:lvlJc w:val="left"/>
      <w:pPr>
        <w:ind w:left="5760" w:hanging="360"/>
      </w:pPr>
    </w:lvl>
    <w:lvl w:ilvl="8" w:tplc="9FDC46A4">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97CF31"/>
    <w:rsid w:val="00BE7177"/>
    <w:rsid w:val="00F06BF8"/>
    <w:rsid w:val="22C56EB9"/>
    <w:rsid w:val="6197C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7CF31"/>
  <w15:chartTrackingRefBased/>
  <w15:docId w15:val="{4E68E5B0-74D7-4193-BEE8-263D245C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Thapa</dc:creator>
  <cp:keywords/>
  <dc:description/>
  <cp:lastModifiedBy>AMUHD</cp:lastModifiedBy>
  <cp:revision>2</cp:revision>
  <cp:lastPrinted>2024-07-06T14:19:00Z</cp:lastPrinted>
  <dcterms:created xsi:type="dcterms:W3CDTF">2024-04-18T23:49:00Z</dcterms:created>
  <dcterms:modified xsi:type="dcterms:W3CDTF">2024-07-06T14:20:00Z</dcterms:modified>
</cp:coreProperties>
</file>