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0F172A"/>
          <w:sz w:val="44"/>
        </w:rPr>
        <w:t>Explainable AI Diabetes Prediction &amp; Clinical Decision Support System</w:t>
      </w:r>
    </w:p>
    <w:p>
      <w:pPr>
        <w:spacing w:after="240"/>
      </w:pPr>
      <w:r>
        <w:rPr>
          <w:color w:val="475569"/>
          <w:sz w:val="24"/>
        </w:rPr>
        <w:t>A Probability-Calibrated Machine Learning Framework with Dual Local Explainability (SHAP + LIME) and Personalized Clinical Educational Guidance</w:t>
      </w:r>
    </w:p>
    <w:tbl>
      <w:tblPr>
        <w:tblW w:type="auto" w:w="0"/>
        <w:jc w:val="center"/>
        <w:tblLayout w:type="fixed"/>
        <w:tblLook w:firstColumn="1" w:firstRow="1" w:lastColumn="0" w:lastRow="0" w:noHBand="0" w:noVBand="1" w:val="04A0"/>
      </w:tblPr>
      <w:tblGrid>
        <w:gridCol w:w="4968"/>
        <w:gridCol w:w="4968"/>
      </w:tblGrid>
      <w:tr>
        <w:tc>
          <w:tcPr>
            <w:tcW w:type="dxa" w:w="3600"/>
            <w:shd w:fill="F1F5F9"/>
            <w:tcMar>
              <w:top w:w="80" w:type="dxa"/>
              <w:bottom w:w="80" w:type="dxa"/>
              <w:left w:w="120" w:type="dxa"/>
              <w:right w:w="120" w:type="dxa"/>
            </w:tcMar>
          </w:tcPr>
          <w:p>
            <w:pPr>
              <w:spacing w:after="0"/>
            </w:pPr>
            <w:r>
              <w:rPr>
                <w:b/>
                <w:color w:val="1E293B"/>
                <w:sz w:val="18"/>
              </w:rPr>
              <w:t>Project Type</w:t>
            </w:r>
          </w:p>
        </w:tc>
        <w:tc>
          <w:tcPr>
            <w:tcW w:type="dxa" w:w="6192"/>
            <w:shd w:fill="F8FAFC"/>
            <w:tcMar>
              <w:top w:w="80" w:type="dxa"/>
              <w:bottom w:w="80" w:type="dxa"/>
              <w:left w:w="120" w:type="dxa"/>
              <w:right w:w="120" w:type="dxa"/>
            </w:tcMar>
          </w:tcPr>
          <w:p>
            <w:pPr>
              <w:spacing w:after="0"/>
            </w:pPr>
            <w:r>
              <w:rPr>
                <w:color w:val="334155"/>
                <w:sz w:val="18"/>
              </w:rPr>
              <w:t>Final-Year Academic Capstone / Research Engineering Project</w:t>
            </w:r>
          </w:p>
        </w:tc>
      </w:tr>
      <w:tr>
        <w:tc>
          <w:tcPr>
            <w:tcW w:type="dxa" w:w="3600"/>
            <w:shd w:fill="F1F5F9"/>
            <w:tcMar>
              <w:top w:w="80" w:type="dxa"/>
              <w:bottom w:w="80" w:type="dxa"/>
              <w:left w:w="120" w:type="dxa"/>
              <w:right w:w="120" w:type="dxa"/>
            </w:tcMar>
          </w:tcPr>
          <w:p>
            <w:pPr>
              <w:spacing w:after="0"/>
            </w:pPr>
            <w:r>
              <w:rPr>
                <w:b/>
                <w:color w:val="1E293B"/>
                <w:sz w:val="18"/>
              </w:rPr>
              <w:t>Clinical Focus</w:t>
            </w:r>
          </w:p>
        </w:tc>
        <w:tc>
          <w:tcPr>
            <w:tcW w:type="dxa" w:w="6192"/>
            <w:shd w:fill="F8FAFC"/>
            <w:tcMar>
              <w:top w:w="80" w:type="dxa"/>
              <w:bottom w:w="80" w:type="dxa"/>
              <w:left w:w="120" w:type="dxa"/>
              <w:right w:w="120" w:type="dxa"/>
            </w:tcMar>
          </w:tcPr>
          <w:p>
            <w:pPr>
              <w:spacing w:after="0"/>
            </w:pPr>
            <w:r>
              <w:rPr>
                <w:color w:val="334155"/>
                <w:sz w:val="18"/>
              </w:rPr>
              <w:t>Type 2 Diabetes Screening &amp; Risk Stratification (PIMA Indians Cohort)</w:t>
            </w:r>
          </w:p>
        </w:tc>
      </w:tr>
      <w:tr>
        <w:tc>
          <w:tcPr>
            <w:tcW w:type="dxa" w:w="3600"/>
            <w:shd w:fill="F1F5F9"/>
            <w:tcMar>
              <w:top w:w="80" w:type="dxa"/>
              <w:bottom w:w="80" w:type="dxa"/>
              <w:left w:w="120" w:type="dxa"/>
              <w:right w:w="120" w:type="dxa"/>
            </w:tcMar>
          </w:tcPr>
          <w:p>
            <w:pPr>
              <w:spacing w:after="0"/>
            </w:pPr>
            <w:r>
              <w:rPr>
                <w:b/>
                <w:color w:val="1E293B"/>
                <w:sz w:val="18"/>
              </w:rPr>
              <w:t>System Architecture</w:t>
            </w:r>
          </w:p>
        </w:tc>
        <w:tc>
          <w:tcPr>
            <w:tcW w:type="dxa" w:w="6192"/>
            <w:shd w:fill="F8FAFC"/>
            <w:tcMar>
              <w:top w:w="80" w:type="dxa"/>
              <w:bottom w:w="80" w:type="dxa"/>
              <w:left w:w="120" w:type="dxa"/>
              <w:right w:w="120" w:type="dxa"/>
            </w:tcMar>
          </w:tcPr>
          <w:p>
            <w:pPr>
              <w:spacing w:after="0"/>
            </w:pPr>
            <w:r>
              <w:rPr>
                <w:color w:val="334155"/>
                <w:sz w:val="18"/>
              </w:rPr>
              <w:t>Calibrated XGBoost, TreeExplainer SHAP, LIME Surrogate, Streamlit, ReportLab, SMTP, Gemini</w:t>
            </w:r>
          </w:p>
        </w:tc>
      </w:tr>
      <w:tr>
        <w:tc>
          <w:tcPr>
            <w:tcW w:type="dxa" w:w="3600"/>
            <w:shd w:fill="F1F5F9"/>
            <w:tcMar>
              <w:top w:w="80" w:type="dxa"/>
              <w:bottom w:w="80" w:type="dxa"/>
              <w:left w:w="120" w:type="dxa"/>
              <w:right w:w="120" w:type="dxa"/>
            </w:tcMar>
          </w:tcPr>
          <w:p>
            <w:pPr>
              <w:spacing w:after="0"/>
            </w:pPr>
            <w:r>
              <w:rPr>
                <w:b/>
                <w:color w:val="1E293B"/>
                <w:sz w:val="18"/>
              </w:rPr>
              <w:t>Verification Status</w:t>
            </w:r>
          </w:p>
        </w:tc>
        <w:tc>
          <w:tcPr>
            <w:tcW w:type="dxa" w:w="6192"/>
            <w:shd w:fill="F8FAFC"/>
            <w:tcMar>
              <w:top w:w="80" w:type="dxa"/>
              <w:bottom w:w="80" w:type="dxa"/>
              <w:left w:w="120" w:type="dxa"/>
              <w:right w:w="120" w:type="dxa"/>
            </w:tcMar>
          </w:tcPr>
          <w:p>
            <w:pPr>
              <w:spacing w:after="0"/>
            </w:pPr>
            <w:r>
              <w:rPr>
                <w:color w:val="334155"/>
                <w:sz w:val="18"/>
              </w:rPr>
              <w:t>Empirically Validated &amp; Calibrated | 45 Automated Tests Passing (100%)</w:t>
            </w:r>
          </w:p>
        </w:tc>
      </w:tr>
    </w:tbl>
    <w:p>
      <w:pPr>
        <w:spacing w:after="200"/>
      </w:pPr>
    </w:p>
    <w:tbl>
      <w:tblPr>
        <w:tblW w:type="auto" w:w="0"/>
        <w:jc w:val="center"/>
        <w:tblLook w:firstColumn="1" w:firstRow="1" w:lastColumn="0" w:lastRow="0" w:noHBand="0" w:noVBand="1" w:val="04A0"/>
      </w:tblPr>
      <w:tblGrid>
        <w:gridCol w:w="9936"/>
      </w:tblGrid>
      <w:tr>
        <w:tc>
          <w:tcPr>
            <w:tcW w:type="dxa" w:w="9936"/>
            <w:shd w:fill="FFF1F2"/>
            <w:tcMar>
              <w:top w:w="140" w:type="dxa"/>
              <w:bottom w:w="140" w:type="dxa"/>
              <w:left w:w="200" w:type="dxa"/>
              <w:right w:w="200" w:type="dxa"/>
            </w:tcMar>
            <w:tcBorders>
              <w:left w:val="single" w:sz="24" w:space="0" w:color="F43F5E"/>
              <w:top w:val="none"/>
              <w:right w:val="none"/>
              <w:bottom w:val="none"/>
            </w:tcBorders>
          </w:tcPr>
          <w:p>
            <w:pPr>
              <w:spacing w:before="40" w:after="80"/>
            </w:pPr>
            <w:r>
              <w:rPr>
                <w:b/>
                <w:color w:val="B91C1C"/>
                <w:sz w:val="20"/>
              </w:rPr>
              <w:t>⚠️ MANDATORY CLINICAL NON-DIAGNOSTIC NOTICE</w:t>
              <w:br/>
            </w:r>
            <w:r>
              <w:rPr>
                <w:color w:val="334155"/>
                <w:sz w:val="19"/>
              </w:rPr>
              <w:t>This software and generated report represent an AI-based research prototype for educational and screening decision support. It is strictly non-diagnostic and does not replace consultation with a qualified medical professional. Patients must never initiate, alter, or discontinue any medications or treatments without direct physician supervision.</w:t>
            </w:r>
          </w:p>
        </w:tc>
      </w:tr>
    </w:tbl>
    <w:p>
      <w:pPr>
        <w:spacing w:after="240"/>
      </w:pPr>
    </w:p>
    <w:p>
      <w:pPr>
        <w:pStyle w:val="Heading1"/>
        <w:keepNext/>
        <w:spacing w:before="320" w:after="120"/>
      </w:pPr>
      <w:r>
        <w:rPr>
          <w:rFonts w:ascii="Calibri" w:hAnsi="Calibri"/>
          <w:b/>
          <w:color w:val="0F766E"/>
          <w:sz w:val="32"/>
        </w:rPr>
        <w:t>1. Executive Summary</w:t>
      </w:r>
    </w:p>
    <w:p>
      <w:r>
        <w:t>Machine learning models in healthcare often suffer from the classic 'black-box' dilemma: while high-capacity ensemble tree architectures such as XGBoost achieve strong discrimination, their opaque decision topologies hinder physician adoption, clinical verification, and patient understanding. This project resolves this dilemma by constructing a fully transparent, probability-calibrated, and ethically constrained Explainable AI Diabetes Prediction System.</w:t>
      </w:r>
    </w:p>
    <w:p>
      <w:r>
        <w:t>Building upon the benchmark PIMA Indians Diabetes Database (N=768, 8 numerical features), the engineering core was upgraded to optimize recall on the diabetic class while ensuring honest, leak-free evaluation. The baseline XGBoost model (holdout ROC-AUC 0.8198, Accuracy 74.03%) was preserved intact, while a calibrated decision model was engineered that improves sensitivity from 55.56% to 81.48%, slashing missed diabetic cases (False Negatives) by more than half (from 24 down to 10).</w:t>
      </w:r>
    </w:p>
    <w:p>
      <w:r>
        <w:t>To deliver actionable transparency, the system provides dual local explainability: game-theoretic local Shapley attributions (TreeExplainer) and local linear surrogate approximations (LIME), validated by quantitative agreement metrics (Spearman rank correlation rho = 0.8810, Top-3 feature overlap 100%). Furthermore, a deterministic clinical recommendation engine translates the patient's positive local SHAP risk drivers into personalized educational guidance across a multi-channel delivery layer comprising an interactive 7-tab Streamlit application, publication-grade 9-section ReportLab PDFs, and secure TLS SMTP email dispatch.</w:t>
      </w:r>
    </w:p>
    <w:p>
      <w:pPr>
        <w:pStyle w:val="Heading1"/>
        <w:keepNext/>
        <w:spacing w:before="320" w:after="120"/>
      </w:pPr>
      <w:r>
        <w:rPr>
          <w:rFonts w:ascii="Calibri" w:hAnsi="Calibri"/>
          <w:b/>
          <w:color w:val="0F766E"/>
          <w:sz w:val="32"/>
        </w:rPr>
        <w:t>2. Clinical Motivation &amp; Problem Statement</w:t>
      </w:r>
    </w:p>
    <w:p>
      <w:r>
        <w:t>Type 2 diabetes mellitus is a progressive metabolic disorder characterized by hyperglycemia resulting from insulin resistance and relative insulin deficiency. The asymptomatic nature of early-stage dysglycemia frequently leads to delayed diagnosis, at which point irreversible microvascular and macrovascular damage may have already commenced.</w:t>
      </w:r>
    </w:p>
    <w:p>
      <w:r>
        <w:t>Traditional risk assessment questionnaires often lack mathematical personalization, whereas automated black-box classifiers output opaque probabilities that clinicians cannot verify. Furthermore, generic lifestyle advice fails to engage patients because it does not illuminate which specific physiological factors contributed to the patient's individual risk tier.</w:t>
      </w:r>
    </w:p>
    <w:p>
      <w:r>
        <w:t>This project was undertaken to meet three core research objectives:</w:t>
        <w:br/>
        <w:t>1. Maximize Screening Sensitivity: Prioritize calibrated recall on diabetic cases to minimize harmful False Negatives.</w:t>
        <w:br/>
        <w:t>2. Deliver Dual Local Transparency: Deconstruct individual predictions using both exact tree Shapley attributions and local surrogate approximations.</w:t>
        <w:br/>
        <w:t>3. Bridge Prediction to Actionable Guidance: Synthesize personalized educational wellness recommendations grounded in the specific positive SHAP contributors.</w:t>
      </w:r>
    </w:p>
    <w:p>
      <w:pPr>
        <w:pStyle w:val="Heading1"/>
        <w:keepNext/>
        <w:spacing w:before="320" w:after="120"/>
      </w:pPr>
      <w:r>
        <w:rPr>
          <w:rFonts w:ascii="Calibri" w:hAnsi="Calibri"/>
          <w:b/>
          <w:color w:val="0F766E"/>
          <w:sz w:val="32"/>
        </w:rPr>
        <w:t>3. End-to-End System Architecture</w:t>
      </w:r>
    </w:p>
    <w:p>
      <w:r>
        <w:t>The system follows a strictly modular, decoupled 5-tier architecture that guarantees data hygiene, zero leakage, and high availability:</w:t>
      </w:r>
    </w:p>
    <w:p>
      <w:pPr>
        <w:pStyle w:val="ListBullet"/>
      </w:pPr>
      <w:r>
        <w:rPr>
          <w:b/>
        </w:rPr>
        <w:t xml:space="preserve">Tier 1 — Demographic &amp; Clinical Ingestion (UI): </w:t>
      </w:r>
      <w:r>
        <w:t>Collects Patient Name, Biological Sex, Age, and 7 physiological measurements in Streamlit. Dynamic UI logic automatically sets Pregnancies to 0 and disables the input when Male is selected.</w:t>
      </w:r>
    </w:p>
    <w:p>
      <w:pPr>
        <w:pStyle w:val="ListBullet"/>
      </w:pPr>
      <w:r>
        <w:rPr>
          <w:b/>
        </w:rPr>
        <w:t xml:space="preserve">Tier 2 — Leak-Free Preprocessing Core: </w:t>
      </w:r>
      <w:r>
        <w:t>Treats implausible zeros in Glucose, Blood Pressure, Skin Thickness, Insulin, and BMI as missing values via MissingZeroHandler. Transforms inputs using median imputer and z-score standard scaler fitted strictly on the training set.</w:t>
      </w:r>
    </w:p>
    <w:p>
      <w:pPr>
        <w:pStyle w:val="ListBullet"/>
      </w:pPr>
      <w:r>
        <w:rPr>
          <w:b/>
        </w:rPr>
        <w:t xml:space="preserve">Tier 3 — Calibrated Machine Learning Engine: </w:t>
      </w:r>
      <w:r>
        <w:t>Executes serialized XGBoost inference to generate discrete classifications and well-calibrated class-1 probabilities.</w:t>
      </w:r>
    </w:p>
    <w:p>
      <w:pPr>
        <w:pStyle w:val="ListBullet"/>
      </w:pPr>
      <w:r>
        <w:rPr>
          <w:b/>
        </w:rPr>
        <w:t xml:space="preserve">Tier 4 — Dual Explainability &amp; Recommendation Core: </w:t>
      </w:r>
      <w:r>
        <w:t>Computes local signed SHAP attributions via TreeExplainer and fits a LIME tabular surrogate. The deterministic recommendation engine identifies positive upward drivers, applies modifiable vs. non-modifiable rules, and builds personalized guidance.</w:t>
      </w:r>
    </w:p>
    <w:p>
      <w:pPr>
        <w:pStyle w:val="ListBullet"/>
      </w:pPr>
      <w:r>
        <w:rPr>
          <w:b/>
        </w:rPr>
        <w:t xml:space="preserve">Tier 5 — Multi-Channel Delivery Layer: </w:t>
      </w:r>
      <w:r>
        <w:t>Renders interactive results across 7 Streamlit tabs, compiles 9-section ReportLab clinical PDFs, dispatches TLS SMTP emails, and optionally queries Google Gemini (gemini-flash-lite-latest) with 100% deterministic offline fallback.</w:t>
      </w:r>
    </w:p>
    <w:p>
      <w:pPr>
        <w:pStyle w:val="Heading1"/>
        <w:keepNext/>
        <w:spacing w:before="320" w:after="120"/>
      </w:pPr>
      <w:r>
        <w:rPr>
          <w:rFonts w:ascii="Calibri" w:hAnsi="Calibri"/>
          <w:b/>
          <w:color w:val="0F766E"/>
          <w:sz w:val="32"/>
        </w:rPr>
        <w:t>4. Dataset Analysis &amp; Preprocessing Methodology</w:t>
      </w:r>
    </w:p>
    <w:p>
      <w:r>
        <w:t>The project is evaluated on the benchmark PIMA Indians Diabetes Database (National Institute of Diabetes and Digestive and Kidney Diseases). The dataset contains 768 patient records with 8 numerical clinical features and a binary Outcome target.</w:t>
      </w:r>
    </w:p>
    <w:p>
      <w:pPr>
        <w:pStyle w:val="Heading2"/>
        <w:keepNext/>
        <w:spacing w:before="240" w:after="80"/>
      </w:pPr>
      <w:r>
        <w:rPr>
          <w:rFonts w:ascii="Calibri" w:hAnsi="Calibri"/>
          <w:b/>
          <w:color w:val="1E293B"/>
          <w:sz w:val="26"/>
        </w:rPr>
        <w:t>Table 1: Clinical Feature Specifications &amp; Missing-Zero Rationale</w:t>
      </w:r>
    </w:p>
    <w:tbl>
      <w:tblPr>
        <w:tblW w:type="auto" w:w="0"/>
        <w:jc w:val="center"/>
        <w:tblLook w:firstColumn="1" w:firstRow="1" w:lastColumn="0" w:lastRow="0" w:noHBand="0" w:noVBand="1" w:val="04A0"/>
      </w:tblPr>
      <w:tblGrid>
        <w:gridCol w:w="2484"/>
        <w:gridCol w:w="2484"/>
        <w:gridCol w:w="2484"/>
        <w:gridCol w:w="2484"/>
      </w:tblGrid>
      <w:tr>
        <w:tc>
          <w:tcPr>
            <w:tcW w:type="dxa" w:w="2592"/>
            <w:shd w:fill="0F766E"/>
            <w:tcMar>
              <w:top w:w="100" w:type="dxa"/>
              <w:bottom w:w="100" w:type="dxa"/>
              <w:left w:w="100" w:type="dxa"/>
              <w:right w:w="100" w:type="dxa"/>
            </w:tcMar>
          </w:tcPr>
          <w:p>
            <w:pPr>
              <w:spacing w:after="0"/>
            </w:pPr>
            <w:r>
              <w:rPr>
                <w:b/>
                <w:color w:val="FFFFFF"/>
                <w:sz w:val="17"/>
              </w:rPr>
              <w:t>Feature Name</w:t>
            </w:r>
          </w:p>
        </w:tc>
        <w:tc>
          <w:tcPr>
            <w:tcW w:type="dxa" w:w="1728"/>
            <w:shd w:fill="0F766E"/>
            <w:tcMar>
              <w:top w:w="100" w:type="dxa"/>
              <w:bottom w:w="100" w:type="dxa"/>
              <w:left w:w="100" w:type="dxa"/>
              <w:right w:w="100" w:type="dxa"/>
            </w:tcMar>
          </w:tcPr>
          <w:p>
            <w:pPr>
              <w:spacing w:after="0"/>
            </w:pPr>
            <w:r>
              <w:rPr>
                <w:b/>
                <w:color w:val="FFFFFF"/>
                <w:sz w:val="17"/>
              </w:rPr>
              <w:t>Data Type / Unit</w:t>
            </w:r>
          </w:p>
        </w:tc>
        <w:tc>
          <w:tcPr>
            <w:tcW w:type="dxa" w:w="2592"/>
            <w:shd w:fill="0F766E"/>
            <w:tcMar>
              <w:top w:w="100" w:type="dxa"/>
              <w:bottom w:w="100" w:type="dxa"/>
              <w:left w:w="100" w:type="dxa"/>
              <w:right w:w="100" w:type="dxa"/>
            </w:tcMar>
          </w:tcPr>
          <w:p>
            <w:pPr>
              <w:spacing w:after="0"/>
            </w:pPr>
            <w:r>
              <w:rPr>
                <w:b/>
                <w:color w:val="FFFFFF"/>
                <w:sz w:val="17"/>
              </w:rPr>
              <w:t>Physiological Normal Range</w:t>
            </w:r>
          </w:p>
        </w:tc>
        <w:tc>
          <w:tcPr>
            <w:tcW w:type="dxa" w:w="2880"/>
            <w:shd w:fill="0F766E"/>
            <w:tcMar>
              <w:top w:w="100" w:type="dxa"/>
              <w:bottom w:w="100" w:type="dxa"/>
              <w:left w:w="100" w:type="dxa"/>
              <w:right w:w="100" w:type="dxa"/>
            </w:tcMar>
          </w:tcPr>
          <w:p>
            <w:pPr>
              <w:spacing w:after="0"/>
            </w:pPr>
            <w:r>
              <w:rPr>
                <w:b/>
                <w:color w:val="FFFFFF"/>
                <w:sz w:val="17"/>
              </w:rPr>
              <w:t>Zero Value Handling</w:t>
            </w:r>
          </w:p>
        </w:tc>
      </w:tr>
      <w:tr>
        <w:tc>
          <w:tcPr>
            <w:tcW w:type="dxa" w:w="2592"/>
            <w:shd w:fill="FFFFFF"/>
            <w:tcMar>
              <w:top w:w="60" w:type="dxa"/>
              <w:bottom w:w="60" w:type="dxa"/>
              <w:left w:w="80" w:type="dxa"/>
              <w:right w:w="80" w:type="dxa"/>
            </w:tcMar>
          </w:tcPr>
          <w:p>
            <w:pPr>
              <w:spacing w:after="0"/>
            </w:pPr>
            <w:r>
              <w:rPr>
                <w:b/>
                <w:sz w:val="16"/>
              </w:rPr>
              <w:t>Pregnancies</w:t>
            </w:r>
          </w:p>
        </w:tc>
        <w:tc>
          <w:tcPr>
            <w:tcW w:type="dxa" w:w="1728"/>
            <w:shd w:fill="FFFFFF"/>
            <w:tcMar>
              <w:top w:w="60" w:type="dxa"/>
              <w:bottom w:w="60" w:type="dxa"/>
              <w:left w:w="80" w:type="dxa"/>
              <w:right w:w="80" w:type="dxa"/>
            </w:tcMar>
          </w:tcPr>
          <w:p>
            <w:pPr>
              <w:spacing w:after="0"/>
            </w:pPr>
            <w:r>
              <w:rPr>
                <w:sz w:val="16"/>
              </w:rPr>
              <w:t>Integer (count)</w:t>
            </w:r>
          </w:p>
        </w:tc>
        <w:tc>
          <w:tcPr>
            <w:tcW w:type="dxa" w:w="2592"/>
            <w:shd w:fill="FFFFFF"/>
            <w:tcMar>
              <w:top w:w="60" w:type="dxa"/>
              <w:bottom w:w="60" w:type="dxa"/>
              <w:left w:w="80" w:type="dxa"/>
              <w:right w:w="80" w:type="dxa"/>
            </w:tcMar>
          </w:tcPr>
          <w:p>
            <w:pPr>
              <w:spacing w:after="0"/>
            </w:pPr>
            <w:r>
              <w:rPr>
                <w:sz w:val="16"/>
              </w:rPr>
              <w:t>0 – 17</w:t>
            </w:r>
          </w:p>
        </w:tc>
        <w:tc>
          <w:tcPr>
            <w:tcW w:type="dxa" w:w="2880"/>
            <w:shd w:fill="FFFFFF"/>
            <w:tcMar>
              <w:top w:w="60" w:type="dxa"/>
              <w:bottom w:w="60" w:type="dxa"/>
              <w:left w:w="80" w:type="dxa"/>
              <w:right w:w="80" w:type="dxa"/>
            </w:tcMar>
          </w:tcPr>
          <w:p>
            <w:pPr>
              <w:spacing w:after="0"/>
            </w:pPr>
            <w:r>
              <w:rPr>
                <w:sz w:val="16"/>
              </w:rPr>
              <w:t>Preserved as biologically valid (0 = nulliparous)</w:t>
            </w:r>
          </w:p>
        </w:tc>
      </w:tr>
      <w:tr>
        <w:tc>
          <w:tcPr>
            <w:tcW w:type="dxa" w:w="2592"/>
            <w:shd w:fill="F8FAFC"/>
            <w:tcMar>
              <w:top w:w="60" w:type="dxa"/>
              <w:bottom w:w="60" w:type="dxa"/>
              <w:left w:w="80" w:type="dxa"/>
              <w:right w:w="80" w:type="dxa"/>
            </w:tcMar>
          </w:tcPr>
          <w:p>
            <w:pPr>
              <w:spacing w:after="0"/>
            </w:pPr>
            <w:r>
              <w:rPr>
                <w:b/>
                <w:sz w:val="16"/>
              </w:rPr>
              <w:t>Glucose</w:t>
            </w:r>
          </w:p>
        </w:tc>
        <w:tc>
          <w:tcPr>
            <w:tcW w:type="dxa" w:w="1728"/>
            <w:shd w:fill="F8FAFC"/>
            <w:tcMar>
              <w:top w:w="60" w:type="dxa"/>
              <w:bottom w:w="60" w:type="dxa"/>
              <w:left w:w="80" w:type="dxa"/>
              <w:right w:w="80" w:type="dxa"/>
            </w:tcMar>
          </w:tcPr>
          <w:p>
            <w:pPr>
              <w:spacing w:after="0"/>
            </w:pPr>
            <w:r>
              <w:rPr>
                <w:sz w:val="16"/>
              </w:rPr>
              <w:t>Integer (mg/dL)</w:t>
            </w:r>
          </w:p>
        </w:tc>
        <w:tc>
          <w:tcPr>
            <w:tcW w:type="dxa" w:w="2592"/>
            <w:shd w:fill="F8FAFC"/>
            <w:tcMar>
              <w:top w:w="60" w:type="dxa"/>
              <w:bottom w:w="60" w:type="dxa"/>
              <w:left w:w="80" w:type="dxa"/>
              <w:right w:w="80" w:type="dxa"/>
            </w:tcMar>
          </w:tcPr>
          <w:p>
            <w:pPr>
              <w:spacing w:after="0"/>
            </w:pPr>
            <w:r>
              <w:rPr>
                <w:sz w:val="16"/>
              </w:rPr>
              <w:t>70 – 140 mg/dL (fasting/OGTT)</w:t>
            </w:r>
          </w:p>
        </w:tc>
        <w:tc>
          <w:tcPr>
            <w:tcW w:type="dxa" w:w="2880"/>
            <w:shd w:fill="F8FAFC"/>
            <w:tcMar>
              <w:top w:w="60" w:type="dxa"/>
              <w:bottom w:w="60" w:type="dxa"/>
              <w:left w:w="80" w:type="dxa"/>
              <w:right w:w="80" w:type="dxa"/>
            </w:tcMar>
          </w:tcPr>
          <w:p>
            <w:pPr>
              <w:spacing w:after="0"/>
            </w:pPr>
            <w:r>
              <w:rPr>
                <w:sz w:val="16"/>
              </w:rPr>
              <w:t>0 is biologically implausible -&gt; NaN -&gt; Median Imputed</w:t>
            </w:r>
          </w:p>
        </w:tc>
      </w:tr>
      <w:tr>
        <w:tc>
          <w:tcPr>
            <w:tcW w:type="dxa" w:w="2592"/>
            <w:shd w:fill="FFFFFF"/>
            <w:tcMar>
              <w:top w:w="60" w:type="dxa"/>
              <w:bottom w:w="60" w:type="dxa"/>
              <w:left w:w="80" w:type="dxa"/>
              <w:right w:w="80" w:type="dxa"/>
            </w:tcMar>
          </w:tcPr>
          <w:p>
            <w:pPr>
              <w:spacing w:after="0"/>
            </w:pPr>
            <w:r>
              <w:rPr>
                <w:b/>
                <w:sz w:val="16"/>
              </w:rPr>
              <w:t>BloodPressure</w:t>
            </w:r>
          </w:p>
        </w:tc>
        <w:tc>
          <w:tcPr>
            <w:tcW w:type="dxa" w:w="1728"/>
            <w:shd w:fill="FFFFFF"/>
            <w:tcMar>
              <w:top w:w="60" w:type="dxa"/>
              <w:bottom w:w="60" w:type="dxa"/>
              <w:left w:w="80" w:type="dxa"/>
              <w:right w:w="80" w:type="dxa"/>
            </w:tcMar>
          </w:tcPr>
          <w:p>
            <w:pPr>
              <w:spacing w:after="0"/>
            </w:pPr>
            <w:r>
              <w:rPr>
                <w:sz w:val="16"/>
              </w:rPr>
              <w:t>Integer (mmHg)</w:t>
            </w:r>
          </w:p>
        </w:tc>
        <w:tc>
          <w:tcPr>
            <w:tcW w:type="dxa" w:w="2592"/>
            <w:shd w:fill="FFFFFF"/>
            <w:tcMar>
              <w:top w:w="60" w:type="dxa"/>
              <w:bottom w:w="60" w:type="dxa"/>
              <w:left w:w="80" w:type="dxa"/>
              <w:right w:w="80" w:type="dxa"/>
            </w:tcMar>
          </w:tcPr>
          <w:p>
            <w:pPr>
              <w:spacing w:after="0"/>
            </w:pPr>
            <w:r>
              <w:rPr>
                <w:sz w:val="16"/>
              </w:rPr>
              <w:t>60 – 90 mmHg (diastolic)</w:t>
            </w:r>
          </w:p>
        </w:tc>
        <w:tc>
          <w:tcPr>
            <w:tcW w:type="dxa" w:w="2880"/>
            <w:shd w:fill="FFFFFF"/>
            <w:tcMar>
              <w:top w:w="60" w:type="dxa"/>
              <w:bottom w:w="60" w:type="dxa"/>
              <w:left w:w="80" w:type="dxa"/>
              <w:right w:w="80" w:type="dxa"/>
            </w:tcMar>
          </w:tcPr>
          <w:p>
            <w:pPr>
              <w:spacing w:after="0"/>
            </w:pPr>
            <w:r>
              <w:rPr>
                <w:sz w:val="16"/>
              </w:rPr>
              <w:t>0 is biologically implausible -&gt; NaN -&gt; Median Imputed</w:t>
            </w:r>
          </w:p>
        </w:tc>
      </w:tr>
      <w:tr>
        <w:tc>
          <w:tcPr>
            <w:tcW w:type="dxa" w:w="2592"/>
            <w:shd w:fill="F8FAFC"/>
            <w:tcMar>
              <w:top w:w="60" w:type="dxa"/>
              <w:bottom w:w="60" w:type="dxa"/>
              <w:left w:w="80" w:type="dxa"/>
              <w:right w:w="80" w:type="dxa"/>
            </w:tcMar>
          </w:tcPr>
          <w:p>
            <w:pPr>
              <w:spacing w:after="0"/>
            </w:pPr>
            <w:r>
              <w:rPr>
                <w:b/>
                <w:sz w:val="16"/>
              </w:rPr>
              <w:t>SkinThickness</w:t>
            </w:r>
          </w:p>
        </w:tc>
        <w:tc>
          <w:tcPr>
            <w:tcW w:type="dxa" w:w="1728"/>
            <w:shd w:fill="F8FAFC"/>
            <w:tcMar>
              <w:top w:w="60" w:type="dxa"/>
              <w:bottom w:w="60" w:type="dxa"/>
              <w:left w:w="80" w:type="dxa"/>
              <w:right w:w="80" w:type="dxa"/>
            </w:tcMar>
          </w:tcPr>
          <w:p>
            <w:pPr>
              <w:spacing w:after="0"/>
            </w:pPr>
            <w:r>
              <w:rPr>
                <w:sz w:val="16"/>
              </w:rPr>
              <w:t>Integer (mm)</w:t>
            </w:r>
          </w:p>
        </w:tc>
        <w:tc>
          <w:tcPr>
            <w:tcW w:type="dxa" w:w="2592"/>
            <w:shd w:fill="F8FAFC"/>
            <w:tcMar>
              <w:top w:w="60" w:type="dxa"/>
              <w:bottom w:w="60" w:type="dxa"/>
              <w:left w:w="80" w:type="dxa"/>
              <w:right w:w="80" w:type="dxa"/>
            </w:tcMar>
          </w:tcPr>
          <w:p>
            <w:pPr>
              <w:spacing w:after="0"/>
            </w:pPr>
            <w:r>
              <w:rPr>
                <w:sz w:val="16"/>
              </w:rPr>
              <w:t>10 – 50 mm (triceps skinfold)</w:t>
            </w:r>
          </w:p>
        </w:tc>
        <w:tc>
          <w:tcPr>
            <w:tcW w:type="dxa" w:w="2880"/>
            <w:shd w:fill="F8FAFC"/>
            <w:tcMar>
              <w:top w:w="60" w:type="dxa"/>
              <w:bottom w:w="60" w:type="dxa"/>
              <w:left w:w="80" w:type="dxa"/>
              <w:right w:w="80" w:type="dxa"/>
            </w:tcMar>
          </w:tcPr>
          <w:p>
            <w:pPr>
              <w:spacing w:after="0"/>
            </w:pPr>
            <w:r>
              <w:rPr>
                <w:sz w:val="16"/>
              </w:rPr>
              <w:t>0 is biologically implausible -&gt; NaN -&gt; Median Imputed</w:t>
            </w:r>
          </w:p>
        </w:tc>
      </w:tr>
      <w:tr>
        <w:tc>
          <w:tcPr>
            <w:tcW w:type="dxa" w:w="2592"/>
            <w:shd w:fill="FFFFFF"/>
            <w:tcMar>
              <w:top w:w="60" w:type="dxa"/>
              <w:bottom w:w="60" w:type="dxa"/>
              <w:left w:w="80" w:type="dxa"/>
              <w:right w:w="80" w:type="dxa"/>
            </w:tcMar>
          </w:tcPr>
          <w:p>
            <w:pPr>
              <w:spacing w:after="0"/>
            </w:pPr>
            <w:r>
              <w:rPr>
                <w:b/>
                <w:sz w:val="16"/>
              </w:rPr>
              <w:t>Insulin</w:t>
            </w:r>
          </w:p>
        </w:tc>
        <w:tc>
          <w:tcPr>
            <w:tcW w:type="dxa" w:w="1728"/>
            <w:shd w:fill="FFFFFF"/>
            <w:tcMar>
              <w:top w:w="60" w:type="dxa"/>
              <w:bottom w:w="60" w:type="dxa"/>
              <w:left w:w="80" w:type="dxa"/>
              <w:right w:w="80" w:type="dxa"/>
            </w:tcMar>
          </w:tcPr>
          <w:p>
            <w:pPr>
              <w:spacing w:after="0"/>
            </w:pPr>
            <w:r>
              <w:rPr>
                <w:sz w:val="16"/>
              </w:rPr>
              <w:t>Integer (muU/mL)</w:t>
            </w:r>
          </w:p>
        </w:tc>
        <w:tc>
          <w:tcPr>
            <w:tcW w:type="dxa" w:w="2592"/>
            <w:shd w:fill="FFFFFF"/>
            <w:tcMar>
              <w:top w:w="60" w:type="dxa"/>
              <w:bottom w:w="60" w:type="dxa"/>
              <w:left w:w="80" w:type="dxa"/>
              <w:right w:w="80" w:type="dxa"/>
            </w:tcMar>
          </w:tcPr>
          <w:p>
            <w:pPr>
              <w:spacing w:after="0"/>
            </w:pPr>
            <w:r>
              <w:rPr>
                <w:sz w:val="16"/>
              </w:rPr>
              <w:t>16 – 166 muU/mL (2-hour post)</w:t>
            </w:r>
          </w:p>
        </w:tc>
        <w:tc>
          <w:tcPr>
            <w:tcW w:type="dxa" w:w="2880"/>
            <w:shd w:fill="FFFFFF"/>
            <w:tcMar>
              <w:top w:w="60" w:type="dxa"/>
              <w:bottom w:w="60" w:type="dxa"/>
              <w:left w:w="80" w:type="dxa"/>
              <w:right w:w="80" w:type="dxa"/>
            </w:tcMar>
          </w:tcPr>
          <w:p>
            <w:pPr>
              <w:spacing w:after="0"/>
            </w:pPr>
            <w:r>
              <w:rPr>
                <w:sz w:val="16"/>
              </w:rPr>
              <w:t>0 is biologically implausible -&gt; NaN -&gt; Median Imputed</w:t>
            </w:r>
          </w:p>
        </w:tc>
      </w:tr>
      <w:tr>
        <w:tc>
          <w:tcPr>
            <w:tcW w:type="dxa" w:w="2592"/>
            <w:shd w:fill="F8FAFC"/>
            <w:tcMar>
              <w:top w:w="60" w:type="dxa"/>
              <w:bottom w:w="60" w:type="dxa"/>
              <w:left w:w="80" w:type="dxa"/>
              <w:right w:w="80" w:type="dxa"/>
            </w:tcMar>
          </w:tcPr>
          <w:p>
            <w:pPr>
              <w:spacing w:after="0"/>
            </w:pPr>
            <w:r>
              <w:rPr>
                <w:b/>
                <w:sz w:val="16"/>
              </w:rPr>
              <w:t>BMI</w:t>
            </w:r>
          </w:p>
        </w:tc>
        <w:tc>
          <w:tcPr>
            <w:tcW w:type="dxa" w:w="1728"/>
            <w:shd w:fill="F8FAFC"/>
            <w:tcMar>
              <w:top w:w="60" w:type="dxa"/>
              <w:bottom w:w="60" w:type="dxa"/>
              <w:left w:w="80" w:type="dxa"/>
              <w:right w:w="80" w:type="dxa"/>
            </w:tcMar>
          </w:tcPr>
          <w:p>
            <w:pPr>
              <w:spacing w:after="0"/>
            </w:pPr>
            <w:r>
              <w:rPr>
                <w:sz w:val="16"/>
              </w:rPr>
              <w:t>Float (kg/m²)</w:t>
            </w:r>
          </w:p>
        </w:tc>
        <w:tc>
          <w:tcPr>
            <w:tcW w:type="dxa" w:w="2592"/>
            <w:shd w:fill="F8FAFC"/>
            <w:tcMar>
              <w:top w:w="60" w:type="dxa"/>
              <w:bottom w:w="60" w:type="dxa"/>
              <w:left w:w="80" w:type="dxa"/>
              <w:right w:w="80" w:type="dxa"/>
            </w:tcMar>
          </w:tcPr>
          <w:p>
            <w:pPr>
              <w:spacing w:after="0"/>
            </w:pPr>
            <w:r>
              <w:rPr>
                <w:sz w:val="16"/>
              </w:rPr>
              <w:t>18.5 – 24.9 kg/m²</w:t>
            </w:r>
          </w:p>
        </w:tc>
        <w:tc>
          <w:tcPr>
            <w:tcW w:type="dxa" w:w="2880"/>
            <w:shd w:fill="F8FAFC"/>
            <w:tcMar>
              <w:top w:w="60" w:type="dxa"/>
              <w:bottom w:w="60" w:type="dxa"/>
              <w:left w:w="80" w:type="dxa"/>
              <w:right w:w="80" w:type="dxa"/>
            </w:tcMar>
          </w:tcPr>
          <w:p>
            <w:pPr>
              <w:spacing w:after="0"/>
            </w:pPr>
            <w:r>
              <w:rPr>
                <w:sz w:val="16"/>
              </w:rPr>
              <w:t>0 is biologically implausible -&gt; NaN -&gt; Median Imputed</w:t>
            </w:r>
          </w:p>
        </w:tc>
      </w:tr>
      <w:tr>
        <w:tc>
          <w:tcPr>
            <w:tcW w:type="dxa" w:w="2592"/>
            <w:shd w:fill="FFFFFF"/>
            <w:tcMar>
              <w:top w:w="60" w:type="dxa"/>
              <w:bottom w:w="60" w:type="dxa"/>
              <w:left w:w="80" w:type="dxa"/>
              <w:right w:w="80" w:type="dxa"/>
            </w:tcMar>
          </w:tcPr>
          <w:p>
            <w:pPr>
              <w:spacing w:after="0"/>
            </w:pPr>
            <w:r>
              <w:rPr>
                <w:b/>
                <w:sz w:val="16"/>
              </w:rPr>
              <w:t>DiabetesPedigreeFunction</w:t>
            </w:r>
          </w:p>
        </w:tc>
        <w:tc>
          <w:tcPr>
            <w:tcW w:type="dxa" w:w="1728"/>
            <w:shd w:fill="FFFFFF"/>
            <w:tcMar>
              <w:top w:w="60" w:type="dxa"/>
              <w:bottom w:w="60" w:type="dxa"/>
              <w:left w:w="80" w:type="dxa"/>
              <w:right w:w="80" w:type="dxa"/>
            </w:tcMar>
          </w:tcPr>
          <w:p>
            <w:pPr>
              <w:spacing w:after="0"/>
            </w:pPr>
            <w:r>
              <w:rPr>
                <w:sz w:val="16"/>
              </w:rPr>
              <w:t>Float (ratio)</w:t>
            </w:r>
          </w:p>
        </w:tc>
        <w:tc>
          <w:tcPr>
            <w:tcW w:type="dxa" w:w="2592"/>
            <w:shd w:fill="FFFFFF"/>
            <w:tcMar>
              <w:top w:w="60" w:type="dxa"/>
              <w:bottom w:w="60" w:type="dxa"/>
              <w:left w:w="80" w:type="dxa"/>
              <w:right w:w="80" w:type="dxa"/>
            </w:tcMar>
          </w:tcPr>
          <w:p>
            <w:pPr>
              <w:spacing w:after="0"/>
            </w:pPr>
            <w:r>
              <w:rPr>
                <w:sz w:val="16"/>
              </w:rPr>
              <w:t>0.08 – 2.42 (genetic score)</w:t>
            </w:r>
          </w:p>
        </w:tc>
        <w:tc>
          <w:tcPr>
            <w:tcW w:type="dxa" w:w="2880"/>
            <w:shd w:fill="FFFFFF"/>
            <w:tcMar>
              <w:top w:w="60" w:type="dxa"/>
              <w:bottom w:w="60" w:type="dxa"/>
              <w:left w:w="80" w:type="dxa"/>
              <w:right w:w="80" w:type="dxa"/>
            </w:tcMar>
          </w:tcPr>
          <w:p>
            <w:pPr>
              <w:spacing w:after="0"/>
            </w:pPr>
            <w:r>
              <w:rPr>
                <w:sz w:val="16"/>
              </w:rPr>
              <w:t>Preserved as calculated (strictly positive)</w:t>
            </w:r>
          </w:p>
        </w:tc>
      </w:tr>
      <w:tr>
        <w:tc>
          <w:tcPr>
            <w:tcW w:type="dxa" w:w="2592"/>
            <w:shd w:fill="F8FAFC"/>
            <w:tcMar>
              <w:top w:w="60" w:type="dxa"/>
              <w:bottom w:w="60" w:type="dxa"/>
              <w:left w:w="80" w:type="dxa"/>
              <w:right w:w="80" w:type="dxa"/>
            </w:tcMar>
          </w:tcPr>
          <w:p>
            <w:pPr>
              <w:spacing w:after="0"/>
            </w:pPr>
            <w:r>
              <w:rPr>
                <w:b/>
                <w:sz w:val="16"/>
              </w:rPr>
              <w:t>Age</w:t>
            </w:r>
          </w:p>
        </w:tc>
        <w:tc>
          <w:tcPr>
            <w:tcW w:type="dxa" w:w="1728"/>
            <w:shd w:fill="F8FAFC"/>
            <w:tcMar>
              <w:top w:w="60" w:type="dxa"/>
              <w:bottom w:w="60" w:type="dxa"/>
              <w:left w:w="80" w:type="dxa"/>
              <w:right w:w="80" w:type="dxa"/>
            </w:tcMar>
          </w:tcPr>
          <w:p>
            <w:pPr>
              <w:spacing w:after="0"/>
            </w:pPr>
            <w:r>
              <w:rPr>
                <w:sz w:val="16"/>
              </w:rPr>
              <w:t>Integer (years)</w:t>
            </w:r>
          </w:p>
        </w:tc>
        <w:tc>
          <w:tcPr>
            <w:tcW w:type="dxa" w:w="2592"/>
            <w:shd w:fill="F8FAFC"/>
            <w:tcMar>
              <w:top w:w="60" w:type="dxa"/>
              <w:bottom w:w="60" w:type="dxa"/>
              <w:left w:w="80" w:type="dxa"/>
              <w:right w:w="80" w:type="dxa"/>
            </w:tcMar>
          </w:tcPr>
          <w:p>
            <w:pPr>
              <w:spacing w:after="0"/>
            </w:pPr>
            <w:r>
              <w:rPr>
                <w:sz w:val="16"/>
              </w:rPr>
              <w:t>21 – 81 years</w:t>
            </w:r>
          </w:p>
        </w:tc>
        <w:tc>
          <w:tcPr>
            <w:tcW w:type="dxa" w:w="2880"/>
            <w:shd w:fill="F8FAFC"/>
            <w:tcMar>
              <w:top w:w="60" w:type="dxa"/>
              <w:bottom w:w="60" w:type="dxa"/>
              <w:left w:w="80" w:type="dxa"/>
              <w:right w:w="80" w:type="dxa"/>
            </w:tcMar>
          </w:tcPr>
          <w:p>
            <w:pPr>
              <w:spacing w:after="0"/>
            </w:pPr>
            <w:r>
              <w:rPr>
                <w:sz w:val="16"/>
              </w:rPr>
              <w:t>Preserved as recorded (minimum age 21)</w:t>
            </w:r>
          </w:p>
        </w:tc>
      </w:tr>
    </w:tbl>
    <w:p>
      <w:pPr>
        <w:spacing w:after="160"/>
      </w:pPr>
    </w:p>
    <w:p>
      <w:pPr>
        <w:pStyle w:val="Heading1"/>
        <w:keepNext/>
        <w:spacing w:before="320" w:after="120"/>
      </w:pPr>
      <w:r>
        <w:rPr>
          <w:rFonts w:ascii="Calibri" w:hAnsi="Calibri"/>
          <w:b/>
          <w:color w:val="0F766E"/>
          <w:sz w:val="32"/>
        </w:rPr>
        <w:t>5. Machine Learning Modeling &amp; Benchmarking</w:t>
      </w:r>
    </w:p>
    <w:p>
      <w:r>
        <w:t>To establish rigorous baseline comparisons, five algorithms were benchmarked using identical leak-free 5-fold Stratified Cross-Validation on the training cohort (N=614):</w:t>
      </w:r>
    </w:p>
    <w:p>
      <w:pPr>
        <w:pStyle w:val="Heading2"/>
        <w:keepNext/>
        <w:spacing w:before="240" w:after="80"/>
      </w:pPr>
      <w:r>
        <w:rPr>
          <w:rFonts w:ascii="Calibri" w:hAnsi="Calibri"/>
          <w:b/>
          <w:color w:val="1E293B"/>
          <w:sz w:val="26"/>
        </w:rPr>
        <w:t>Table 2: Candidate Models 5-Fold Stratified Cross-Validation Benchmark</w:t>
      </w:r>
    </w:p>
    <w:tbl>
      <w:tblPr>
        <w:tblW w:type="auto" w:w="0"/>
        <w:jc w:val="center"/>
        <w:tblLook w:firstColumn="1" w:firstRow="1" w:lastColumn="0" w:lastRow="0" w:noHBand="0" w:noVBand="1" w:val="04A0"/>
      </w:tblPr>
      <w:tblGrid>
        <w:gridCol w:w="1987"/>
        <w:gridCol w:w="1987"/>
        <w:gridCol w:w="1987"/>
        <w:gridCol w:w="1987"/>
        <w:gridCol w:w="1987"/>
      </w:tblGrid>
      <w:tr>
        <w:tc>
          <w:tcPr>
            <w:tcW w:type="dxa" w:w="3168"/>
            <w:shd w:fill="0F766E"/>
            <w:tcMar>
              <w:top w:w="100" w:type="dxa"/>
              <w:bottom w:w="100" w:type="dxa"/>
              <w:left w:w="100" w:type="dxa"/>
              <w:right w:w="100" w:type="dxa"/>
            </w:tcMar>
          </w:tcPr>
          <w:p>
            <w:pPr>
              <w:spacing w:after="0"/>
            </w:pPr>
            <w:r>
              <w:rPr>
                <w:b/>
                <w:color w:val="FFFFFF"/>
                <w:sz w:val="17"/>
              </w:rPr>
              <w:t>Algorithm Evaluated</w:t>
            </w:r>
          </w:p>
        </w:tc>
        <w:tc>
          <w:tcPr>
            <w:tcW w:type="dxa" w:w="1728"/>
            <w:shd w:fill="0F766E"/>
            <w:tcMar>
              <w:top w:w="100" w:type="dxa"/>
              <w:bottom w:w="100" w:type="dxa"/>
              <w:left w:w="100" w:type="dxa"/>
              <w:right w:w="100" w:type="dxa"/>
            </w:tcMar>
          </w:tcPr>
          <w:p>
            <w:pPr>
              <w:spacing w:after="0"/>
            </w:pPr>
            <w:r>
              <w:rPr>
                <w:b/>
                <w:color w:val="FFFFFF"/>
                <w:sz w:val="17"/>
              </w:rPr>
              <w:t>Mean CV ROC-AUC</w:t>
            </w:r>
          </w:p>
        </w:tc>
        <w:tc>
          <w:tcPr>
            <w:tcW w:type="dxa" w:w="1728"/>
            <w:shd w:fill="0F766E"/>
            <w:tcMar>
              <w:top w:w="100" w:type="dxa"/>
              <w:bottom w:w="100" w:type="dxa"/>
              <w:left w:w="100" w:type="dxa"/>
              <w:right w:w="100" w:type="dxa"/>
            </w:tcMar>
          </w:tcPr>
          <w:p>
            <w:pPr>
              <w:spacing w:after="0"/>
            </w:pPr>
            <w:r>
              <w:rPr>
                <w:b/>
                <w:color w:val="FFFFFF"/>
                <w:sz w:val="17"/>
              </w:rPr>
              <w:t>Mean CV Accuracy</w:t>
            </w:r>
          </w:p>
        </w:tc>
        <w:tc>
          <w:tcPr>
            <w:tcW w:type="dxa" w:w="1584"/>
            <w:shd w:fill="0F766E"/>
            <w:tcMar>
              <w:top w:w="100" w:type="dxa"/>
              <w:bottom w:w="100" w:type="dxa"/>
              <w:left w:w="100" w:type="dxa"/>
              <w:right w:w="100" w:type="dxa"/>
            </w:tcMar>
          </w:tcPr>
          <w:p>
            <w:pPr>
              <w:spacing w:after="0"/>
            </w:pPr>
            <w:r>
              <w:rPr>
                <w:b/>
                <w:color w:val="FFFFFF"/>
                <w:sz w:val="17"/>
              </w:rPr>
              <w:t>Mean CV Recall</w:t>
            </w:r>
          </w:p>
        </w:tc>
        <w:tc>
          <w:tcPr>
            <w:tcW w:type="dxa" w:w="1584"/>
            <w:shd w:fill="0F766E"/>
            <w:tcMar>
              <w:top w:w="100" w:type="dxa"/>
              <w:bottom w:w="100" w:type="dxa"/>
              <w:left w:w="100" w:type="dxa"/>
              <w:right w:w="100" w:type="dxa"/>
            </w:tcMar>
          </w:tcPr>
          <w:p>
            <w:pPr>
              <w:spacing w:after="0"/>
            </w:pPr>
            <w:r>
              <w:rPr>
                <w:b/>
                <w:color w:val="FFFFFF"/>
                <w:sz w:val="17"/>
              </w:rPr>
              <w:t>Mean CV F1</w:t>
            </w:r>
          </w:p>
        </w:tc>
      </w:tr>
      <w:tr>
        <w:tc>
          <w:tcPr>
            <w:tcW w:type="dxa" w:w="3168"/>
            <w:shd w:fill="FFFFFF"/>
            <w:tcMar>
              <w:top w:w="60" w:type="dxa"/>
              <w:bottom w:w="60" w:type="dxa"/>
              <w:left w:w="80" w:type="dxa"/>
              <w:right w:w="80" w:type="dxa"/>
            </w:tcMar>
          </w:tcPr>
          <w:p>
            <w:pPr>
              <w:spacing w:after="0"/>
            </w:pPr>
            <w:r>
              <w:rPr>
                <w:b/>
                <w:sz w:val="16"/>
              </w:rPr>
              <w:t>XGBoost (Baseline)</w:t>
            </w:r>
          </w:p>
        </w:tc>
        <w:tc>
          <w:tcPr>
            <w:tcW w:type="dxa" w:w="1728"/>
            <w:shd w:fill="FFFFFF"/>
            <w:tcMar>
              <w:top w:w="60" w:type="dxa"/>
              <w:bottom w:w="60" w:type="dxa"/>
              <w:left w:w="80" w:type="dxa"/>
              <w:right w:w="80" w:type="dxa"/>
            </w:tcMar>
          </w:tcPr>
          <w:p>
            <w:pPr>
              <w:spacing w:after="0"/>
            </w:pPr>
            <w:r>
              <w:rPr>
                <w:sz w:val="16"/>
              </w:rPr>
              <w:t>0.8322 (+/- 0.0237)</w:t>
            </w:r>
          </w:p>
        </w:tc>
        <w:tc>
          <w:tcPr>
            <w:tcW w:type="dxa" w:w="1728"/>
            <w:shd w:fill="FFFFFF"/>
            <w:tcMar>
              <w:top w:w="60" w:type="dxa"/>
              <w:bottom w:w="60" w:type="dxa"/>
              <w:left w:w="80" w:type="dxa"/>
              <w:right w:w="80" w:type="dxa"/>
            </w:tcMar>
          </w:tcPr>
          <w:p>
            <w:pPr>
              <w:spacing w:after="0"/>
            </w:pPr>
            <w:r>
              <w:rPr>
                <w:sz w:val="16"/>
              </w:rPr>
              <w:t>75.89%</w:t>
            </w:r>
          </w:p>
        </w:tc>
        <w:tc>
          <w:tcPr>
            <w:tcW w:type="dxa" w:w="1584"/>
            <w:shd w:fill="FFFFFF"/>
            <w:tcMar>
              <w:top w:w="60" w:type="dxa"/>
              <w:bottom w:w="60" w:type="dxa"/>
              <w:left w:w="80" w:type="dxa"/>
              <w:right w:w="80" w:type="dxa"/>
            </w:tcMar>
          </w:tcPr>
          <w:p>
            <w:pPr>
              <w:spacing w:after="0"/>
            </w:pPr>
            <w:r>
              <w:rPr>
                <w:sz w:val="16"/>
              </w:rPr>
              <w:t>60.29%</w:t>
            </w:r>
          </w:p>
        </w:tc>
        <w:tc>
          <w:tcPr>
            <w:tcW w:type="dxa" w:w="1584"/>
            <w:shd w:fill="FFFFFF"/>
            <w:tcMar>
              <w:top w:w="60" w:type="dxa"/>
              <w:bottom w:w="60" w:type="dxa"/>
              <w:left w:w="80" w:type="dxa"/>
              <w:right w:w="80" w:type="dxa"/>
            </w:tcMar>
          </w:tcPr>
          <w:p>
            <w:pPr>
              <w:spacing w:after="0"/>
            </w:pPr>
            <w:r>
              <w:rPr>
                <w:sz w:val="16"/>
              </w:rPr>
              <w:t>63.81%</w:t>
            </w:r>
          </w:p>
        </w:tc>
      </w:tr>
      <w:tr>
        <w:tc>
          <w:tcPr>
            <w:tcW w:type="dxa" w:w="3168"/>
            <w:shd w:fill="F8FAFC"/>
            <w:tcMar>
              <w:top w:w="60" w:type="dxa"/>
              <w:bottom w:w="60" w:type="dxa"/>
              <w:left w:w="80" w:type="dxa"/>
              <w:right w:w="80" w:type="dxa"/>
            </w:tcMar>
          </w:tcPr>
          <w:p>
            <w:pPr>
              <w:spacing w:after="0"/>
            </w:pPr>
            <w:r>
              <w:rPr>
                <w:b/>
                <w:sz w:val="16"/>
              </w:rPr>
              <w:t>XGBoost (Hyperparameter Tuned)</w:t>
            </w:r>
          </w:p>
        </w:tc>
        <w:tc>
          <w:tcPr>
            <w:tcW w:type="dxa" w:w="1728"/>
            <w:shd w:fill="F8FAFC"/>
            <w:tcMar>
              <w:top w:w="60" w:type="dxa"/>
              <w:bottom w:w="60" w:type="dxa"/>
              <w:left w:w="80" w:type="dxa"/>
              <w:right w:w="80" w:type="dxa"/>
            </w:tcMar>
          </w:tcPr>
          <w:p>
            <w:pPr>
              <w:spacing w:after="0"/>
            </w:pPr>
            <w:r>
              <w:rPr>
                <w:sz w:val="16"/>
              </w:rPr>
              <w:t>0.8430 (+/- 0.0195)</w:t>
            </w:r>
          </w:p>
        </w:tc>
        <w:tc>
          <w:tcPr>
            <w:tcW w:type="dxa" w:w="1728"/>
            <w:shd w:fill="F8FAFC"/>
            <w:tcMar>
              <w:top w:w="60" w:type="dxa"/>
              <w:bottom w:w="60" w:type="dxa"/>
              <w:left w:w="80" w:type="dxa"/>
              <w:right w:w="80" w:type="dxa"/>
            </w:tcMar>
          </w:tcPr>
          <w:p>
            <w:pPr>
              <w:spacing w:after="0"/>
            </w:pPr>
            <w:r>
              <w:rPr>
                <w:sz w:val="16"/>
              </w:rPr>
              <w:t>76.87%</w:t>
            </w:r>
          </w:p>
        </w:tc>
        <w:tc>
          <w:tcPr>
            <w:tcW w:type="dxa" w:w="1584"/>
            <w:shd w:fill="F8FAFC"/>
            <w:tcMar>
              <w:top w:w="60" w:type="dxa"/>
              <w:bottom w:w="60" w:type="dxa"/>
              <w:left w:w="80" w:type="dxa"/>
              <w:right w:w="80" w:type="dxa"/>
            </w:tcMar>
          </w:tcPr>
          <w:p>
            <w:pPr>
              <w:spacing w:after="0"/>
            </w:pPr>
            <w:r>
              <w:rPr>
                <w:sz w:val="16"/>
              </w:rPr>
              <w:t>67.28%</w:t>
            </w:r>
          </w:p>
        </w:tc>
        <w:tc>
          <w:tcPr>
            <w:tcW w:type="dxa" w:w="1584"/>
            <w:shd w:fill="F8FAFC"/>
            <w:tcMar>
              <w:top w:w="60" w:type="dxa"/>
              <w:bottom w:w="60" w:type="dxa"/>
              <w:left w:w="80" w:type="dxa"/>
              <w:right w:w="80" w:type="dxa"/>
            </w:tcMar>
          </w:tcPr>
          <w:p>
            <w:pPr>
              <w:spacing w:after="0"/>
            </w:pPr>
            <w:r>
              <w:rPr>
                <w:sz w:val="16"/>
              </w:rPr>
              <w:t>67.42%</w:t>
            </w:r>
          </w:p>
        </w:tc>
      </w:tr>
      <w:tr>
        <w:tc>
          <w:tcPr>
            <w:tcW w:type="dxa" w:w="3168"/>
            <w:shd w:fill="FFFFFF"/>
            <w:tcMar>
              <w:top w:w="60" w:type="dxa"/>
              <w:bottom w:w="60" w:type="dxa"/>
              <w:left w:w="80" w:type="dxa"/>
              <w:right w:w="80" w:type="dxa"/>
            </w:tcMar>
          </w:tcPr>
          <w:p>
            <w:pPr>
              <w:spacing w:after="0"/>
            </w:pPr>
            <w:r>
              <w:rPr>
                <w:b/>
                <w:sz w:val="16"/>
              </w:rPr>
              <w:t>LightGBM Classifier</w:t>
            </w:r>
          </w:p>
        </w:tc>
        <w:tc>
          <w:tcPr>
            <w:tcW w:type="dxa" w:w="1728"/>
            <w:shd w:fill="FFFFFF"/>
            <w:tcMar>
              <w:top w:w="60" w:type="dxa"/>
              <w:bottom w:w="60" w:type="dxa"/>
              <w:left w:w="80" w:type="dxa"/>
              <w:right w:w="80" w:type="dxa"/>
            </w:tcMar>
          </w:tcPr>
          <w:p>
            <w:pPr>
              <w:spacing w:after="0"/>
            </w:pPr>
            <w:r>
              <w:rPr>
                <w:sz w:val="16"/>
              </w:rPr>
              <w:t>0.8315 (+/- 0.0210)</w:t>
            </w:r>
          </w:p>
        </w:tc>
        <w:tc>
          <w:tcPr>
            <w:tcW w:type="dxa" w:w="1728"/>
            <w:shd w:fill="FFFFFF"/>
            <w:tcMar>
              <w:top w:w="60" w:type="dxa"/>
              <w:bottom w:w="60" w:type="dxa"/>
              <w:left w:w="80" w:type="dxa"/>
              <w:right w:w="80" w:type="dxa"/>
            </w:tcMar>
          </w:tcPr>
          <w:p>
            <w:pPr>
              <w:spacing w:after="0"/>
            </w:pPr>
            <w:r>
              <w:rPr>
                <w:sz w:val="16"/>
              </w:rPr>
              <w:t>75.40%</w:t>
            </w:r>
          </w:p>
        </w:tc>
        <w:tc>
          <w:tcPr>
            <w:tcW w:type="dxa" w:w="1584"/>
            <w:shd w:fill="FFFFFF"/>
            <w:tcMar>
              <w:top w:w="60" w:type="dxa"/>
              <w:bottom w:w="60" w:type="dxa"/>
              <w:left w:w="80" w:type="dxa"/>
              <w:right w:w="80" w:type="dxa"/>
            </w:tcMar>
          </w:tcPr>
          <w:p>
            <w:pPr>
              <w:spacing w:after="0"/>
            </w:pPr>
            <w:r>
              <w:rPr>
                <w:sz w:val="16"/>
              </w:rPr>
              <w:t>62.15%</w:t>
            </w:r>
          </w:p>
        </w:tc>
        <w:tc>
          <w:tcPr>
            <w:tcW w:type="dxa" w:w="1584"/>
            <w:shd w:fill="FFFFFF"/>
            <w:tcMar>
              <w:top w:w="60" w:type="dxa"/>
              <w:bottom w:w="60" w:type="dxa"/>
              <w:left w:w="80" w:type="dxa"/>
              <w:right w:w="80" w:type="dxa"/>
            </w:tcMar>
          </w:tcPr>
          <w:p>
            <w:pPr>
              <w:spacing w:after="0"/>
            </w:pPr>
            <w:r>
              <w:rPr>
                <w:sz w:val="16"/>
              </w:rPr>
              <w:t>64.10%</w:t>
            </w:r>
          </w:p>
        </w:tc>
      </w:tr>
      <w:tr>
        <w:tc>
          <w:tcPr>
            <w:tcW w:type="dxa" w:w="3168"/>
            <w:shd w:fill="F8FAFC"/>
            <w:tcMar>
              <w:top w:w="60" w:type="dxa"/>
              <w:bottom w:w="60" w:type="dxa"/>
              <w:left w:w="80" w:type="dxa"/>
              <w:right w:w="80" w:type="dxa"/>
            </w:tcMar>
          </w:tcPr>
          <w:p>
            <w:pPr>
              <w:spacing w:after="0"/>
            </w:pPr>
            <w:r>
              <w:rPr>
                <w:b/>
                <w:sz w:val="16"/>
              </w:rPr>
              <w:t>Random Forest Classifier</w:t>
            </w:r>
          </w:p>
        </w:tc>
        <w:tc>
          <w:tcPr>
            <w:tcW w:type="dxa" w:w="1728"/>
            <w:shd w:fill="F8FAFC"/>
            <w:tcMar>
              <w:top w:w="60" w:type="dxa"/>
              <w:bottom w:w="60" w:type="dxa"/>
              <w:left w:w="80" w:type="dxa"/>
              <w:right w:w="80" w:type="dxa"/>
            </w:tcMar>
          </w:tcPr>
          <w:p>
            <w:pPr>
              <w:spacing w:after="0"/>
            </w:pPr>
            <w:r>
              <w:rPr>
                <w:sz w:val="16"/>
              </w:rPr>
              <w:t>0.8290 (+/- 0.0245)</w:t>
            </w:r>
          </w:p>
        </w:tc>
        <w:tc>
          <w:tcPr>
            <w:tcW w:type="dxa" w:w="1728"/>
            <w:shd w:fill="F8FAFC"/>
            <w:tcMar>
              <w:top w:w="60" w:type="dxa"/>
              <w:bottom w:w="60" w:type="dxa"/>
              <w:left w:w="80" w:type="dxa"/>
              <w:right w:w="80" w:type="dxa"/>
            </w:tcMar>
          </w:tcPr>
          <w:p>
            <w:pPr>
              <w:spacing w:after="0"/>
            </w:pPr>
            <w:r>
              <w:rPr>
                <w:sz w:val="16"/>
              </w:rPr>
              <w:t>75.24%</w:t>
            </w:r>
          </w:p>
        </w:tc>
        <w:tc>
          <w:tcPr>
            <w:tcW w:type="dxa" w:w="1584"/>
            <w:shd w:fill="F8FAFC"/>
            <w:tcMar>
              <w:top w:w="60" w:type="dxa"/>
              <w:bottom w:w="60" w:type="dxa"/>
              <w:left w:w="80" w:type="dxa"/>
              <w:right w:w="80" w:type="dxa"/>
            </w:tcMar>
          </w:tcPr>
          <w:p>
            <w:pPr>
              <w:spacing w:after="0"/>
            </w:pPr>
            <w:r>
              <w:rPr>
                <w:sz w:val="16"/>
              </w:rPr>
              <w:t>58.88%</w:t>
            </w:r>
          </w:p>
        </w:tc>
        <w:tc>
          <w:tcPr>
            <w:tcW w:type="dxa" w:w="1584"/>
            <w:shd w:fill="F8FAFC"/>
            <w:tcMar>
              <w:top w:w="60" w:type="dxa"/>
              <w:bottom w:w="60" w:type="dxa"/>
              <w:left w:w="80" w:type="dxa"/>
              <w:right w:w="80" w:type="dxa"/>
            </w:tcMar>
          </w:tcPr>
          <w:p>
            <w:pPr>
              <w:spacing w:after="0"/>
            </w:pPr>
            <w:r>
              <w:rPr>
                <w:sz w:val="16"/>
              </w:rPr>
              <w:t>62.40%</w:t>
            </w:r>
          </w:p>
        </w:tc>
      </w:tr>
      <w:tr>
        <w:tc>
          <w:tcPr>
            <w:tcW w:type="dxa" w:w="3168"/>
            <w:shd w:fill="FFFFFF"/>
            <w:tcMar>
              <w:top w:w="60" w:type="dxa"/>
              <w:bottom w:w="60" w:type="dxa"/>
              <w:left w:w="80" w:type="dxa"/>
              <w:right w:w="80" w:type="dxa"/>
            </w:tcMar>
          </w:tcPr>
          <w:p>
            <w:pPr>
              <w:spacing w:after="0"/>
            </w:pPr>
            <w:r>
              <w:rPr>
                <w:b/>
                <w:sz w:val="16"/>
              </w:rPr>
              <w:t>Logistic Regression</w:t>
            </w:r>
          </w:p>
        </w:tc>
        <w:tc>
          <w:tcPr>
            <w:tcW w:type="dxa" w:w="1728"/>
            <w:shd w:fill="FFFFFF"/>
            <w:tcMar>
              <w:top w:w="60" w:type="dxa"/>
              <w:bottom w:w="60" w:type="dxa"/>
              <w:left w:w="80" w:type="dxa"/>
              <w:right w:w="80" w:type="dxa"/>
            </w:tcMar>
          </w:tcPr>
          <w:p>
            <w:pPr>
              <w:spacing w:after="0"/>
            </w:pPr>
            <w:r>
              <w:rPr>
                <w:sz w:val="16"/>
              </w:rPr>
              <w:t>0.8265 (+/- 0.0220)</w:t>
            </w:r>
          </w:p>
        </w:tc>
        <w:tc>
          <w:tcPr>
            <w:tcW w:type="dxa" w:w="1728"/>
            <w:shd w:fill="FFFFFF"/>
            <w:tcMar>
              <w:top w:w="60" w:type="dxa"/>
              <w:bottom w:w="60" w:type="dxa"/>
              <w:left w:w="80" w:type="dxa"/>
              <w:right w:w="80" w:type="dxa"/>
            </w:tcMar>
          </w:tcPr>
          <w:p>
            <w:pPr>
              <w:spacing w:after="0"/>
            </w:pPr>
            <w:r>
              <w:rPr>
                <w:sz w:val="16"/>
              </w:rPr>
              <w:t>76.22%</w:t>
            </w:r>
          </w:p>
        </w:tc>
        <w:tc>
          <w:tcPr>
            <w:tcW w:type="dxa" w:w="1584"/>
            <w:shd w:fill="FFFFFF"/>
            <w:tcMar>
              <w:top w:w="60" w:type="dxa"/>
              <w:bottom w:w="60" w:type="dxa"/>
              <w:left w:w="80" w:type="dxa"/>
              <w:right w:w="80" w:type="dxa"/>
            </w:tcMar>
          </w:tcPr>
          <w:p>
            <w:pPr>
              <w:spacing w:after="0"/>
            </w:pPr>
            <w:r>
              <w:rPr>
                <w:sz w:val="16"/>
              </w:rPr>
              <w:t>56.54%</w:t>
            </w:r>
          </w:p>
        </w:tc>
        <w:tc>
          <w:tcPr>
            <w:tcW w:type="dxa" w:w="1584"/>
            <w:shd w:fill="FFFFFF"/>
            <w:tcMar>
              <w:top w:w="60" w:type="dxa"/>
              <w:bottom w:w="60" w:type="dxa"/>
              <w:left w:w="80" w:type="dxa"/>
              <w:right w:w="80" w:type="dxa"/>
            </w:tcMar>
          </w:tcPr>
          <w:p>
            <w:pPr>
              <w:spacing w:after="0"/>
            </w:pPr>
            <w:r>
              <w:rPr>
                <w:sz w:val="16"/>
              </w:rPr>
              <w:t>62.50%</w:t>
            </w:r>
          </w:p>
        </w:tc>
      </w:tr>
    </w:tbl>
    <w:p>
      <w:pPr>
        <w:spacing w:after="200"/>
      </w:pPr>
    </w:p>
    <w:p>
      <w:pPr>
        <w:pStyle w:val="Heading2"/>
        <w:keepNext/>
        <w:spacing w:before="240" w:after="80"/>
      </w:pPr>
      <w:r>
        <w:rPr>
          <w:rFonts w:ascii="Calibri" w:hAnsi="Calibri"/>
          <w:b/>
          <w:color w:val="1E293B"/>
          <w:sz w:val="26"/>
        </w:rPr>
        <w:t>Table 3: Baseline vs. Optimized Holdout Test Performance (N=154)</w:t>
      </w:r>
    </w:p>
    <w:tbl>
      <w:tblPr>
        <w:tblW w:type="auto" w:w="0"/>
        <w:jc w:val="center"/>
        <w:tblLook w:firstColumn="1" w:firstRow="1" w:lastColumn="0" w:lastRow="0" w:noHBand="0" w:noVBand="1" w:val="04A0"/>
      </w:tblPr>
      <w:tblGrid>
        <w:gridCol w:w="2484"/>
        <w:gridCol w:w="2484"/>
        <w:gridCol w:w="2484"/>
        <w:gridCol w:w="2484"/>
      </w:tblGrid>
      <w:tr>
        <w:tc>
          <w:tcPr>
            <w:tcW w:type="dxa" w:w="3600"/>
            <w:shd w:fill="0F766E"/>
            <w:tcMar>
              <w:top w:w="100" w:type="dxa"/>
              <w:bottom w:w="100" w:type="dxa"/>
              <w:left w:w="100" w:type="dxa"/>
              <w:right w:w="100" w:type="dxa"/>
            </w:tcMar>
          </w:tcPr>
          <w:p>
            <w:pPr>
              <w:spacing w:after="0"/>
            </w:pPr>
            <w:r>
              <w:rPr>
                <w:b/>
                <w:color w:val="FFFFFF"/>
                <w:sz w:val="17"/>
              </w:rPr>
              <w:t>Metric / Clinical Criterion</w:t>
            </w:r>
          </w:p>
        </w:tc>
        <w:tc>
          <w:tcPr>
            <w:tcW w:type="dxa" w:w="2016"/>
            <w:shd w:fill="0F766E"/>
            <w:tcMar>
              <w:top w:w="100" w:type="dxa"/>
              <w:bottom w:w="100" w:type="dxa"/>
              <w:left w:w="100" w:type="dxa"/>
              <w:right w:w="100" w:type="dxa"/>
            </w:tcMar>
          </w:tcPr>
          <w:p>
            <w:pPr>
              <w:spacing w:after="0"/>
            </w:pPr>
            <w:r>
              <w:rPr>
                <w:b/>
                <w:color w:val="FFFFFF"/>
                <w:sz w:val="17"/>
              </w:rPr>
              <w:t>Baseline XGBoost</w:t>
            </w:r>
          </w:p>
        </w:tc>
        <w:tc>
          <w:tcPr>
            <w:tcW w:type="dxa" w:w="2016"/>
            <w:shd w:fill="0F766E"/>
            <w:tcMar>
              <w:top w:w="100" w:type="dxa"/>
              <w:bottom w:w="100" w:type="dxa"/>
              <w:left w:w="100" w:type="dxa"/>
              <w:right w:w="100" w:type="dxa"/>
            </w:tcMar>
          </w:tcPr>
          <w:p>
            <w:pPr>
              <w:spacing w:after="0"/>
            </w:pPr>
            <w:r>
              <w:rPr>
                <w:b/>
                <w:color w:val="FFFFFF"/>
                <w:sz w:val="17"/>
              </w:rPr>
              <w:t>Optimized XGBoost</w:t>
            </w:r>
          </w:p>
        </w:tc>
        <w:tc>
          <w:tcPr>
            <w:tcW w:type="dxa" w:w="2160"/>
            <w:shd w:fill="0F766E"/>
            <w:tcMar>
              <w:top w:w="100" w:type="dxa"/>
              <w:bottom w:w="100" w:type="dxa"/>
              <w:left w:w="100" w:type="dxa"/>
              <w:right w:w="100" w:type="dxa"/>
            </w:tcMar>
          </w:tcPr>
          <w:p>
            <w:pPr>
              <w:spacing w:after="0"/>
            </w:pPr>
            <w:r>
              <w:rPr>
                <w:b/>
                <w:color w:val="FFFFFF"/>
                <w:sz w:val="17"/>
              </w:rPr>
              <w:t>Calibrated XGBoost (tau=0.30)</w:t>
            </w:r>
          </w:p>
        </w:tc>
      </w:tr>
      <w:tr>
        <w:tc>
          <w:tcPr>
            <w:tcW w:type="dxa" w:w="3600"/>
            <w:shd w:fill="FFFFFF"/>
            <w:tcMar>
              <w:top w:w="60" w:type="dxa"/>
              <w:bottom w:w="60" w:type="dxa"/>
              <w:left w:w="80" w:type="dxa"/>
              <w:right w:w="80" w:type="dxa"/>
            </w:tcMar>
          </w:tcPr>
          <w:p>
            <w:pPr>
              <w:spacing w:after="0"/>
            </w:pPr>
            <w:r>
              <w:rPr>
                <w:b/>
                <w:sz w:val="16"/>
              </w:rPr>
              <w:t>Accuracy</w:t>
            </w:r>
          </w:p>
        </w:tc>
        <w:tc>
          <w:tcPr>
            <w:tcW w:type="dxa" w:w="2016"/>
            <w:shd w:fill="FFFFFF"/>
            <w:tcMar>
              <w:top w:w="60" w:type="dxa"/>
              <w:bottom w:w="60" w:type="dxa"/>
              <w:left w:w="80" w:type="dxa"/>
              <w:right w:w="80" w:type="dxa"/>
            </w:tcMar>
          </w:tcPr>
          <w:p>
            <w:pPr>
              <w:spacing w:after="0"/>
            </w:pPr>
            <w:r>
              <w:rPr>
                <w:sz w:val="16"/>
              </w:rPr>
              <w:t>74.03%</w:t>
            </w:r>
          </w:p>
        </w:tc>
        <w:tc>
          <w:tcPr>
            <w:tcW w:type="dxa" w:w="2016"/>
            <w:shd w:fill="FFFFFF"/>
            <w:tcMar>
              <w:top w:w="60" w:type="dxa"/>
              <w:bottom w:w="60" w:type="dxa"/>
              <w:left w:w="80" w:type="dxa"/>
              <w:right w:w="80" w:type="dxa"/>
            </w:tcMar>
          </w:tcPr>
          <w:p>
            <w:pPr>
              <w:spacing w:after="0"/>
            </w:pPr>
            <w:r>
              <w:rPr>
                <w:sz w:val="16"/>
              </w:rPr>
              <w:t>73.38%</w:t>
            </w:r>
          </w:p>
        </w:tc>
        <w:tc>
          <w:tcPr>
            <w:tcW w:type="dxa" w:w="2160"/>
            <w:shd w:fill="FFFFFF"/>
            <w:tcMar>
              <w:top w:w="60" w:type="dxa"/>
              <w:bottom w:w="60" w:type="dxa"/>
              <w:left w:w="80" w:type="dxa"/>
              <w:right w:w="80" w:type="dxa"/>
            </w:tcMar>
          </w:tcPr>
          <w:p>
            <w:pPr>
              <w:spacing w:after="0"/>
            </w:pPr>
            <w:r>
              <w:rPr>
                <w:sz w:val="16"/>
              </w:rPr>
              <w:t>75.32% (Highest overall)</w:t>
            </w:r>
          </w:p>
        </w:tc>
      </w:tr>
      <w:tr>
        <w:tc>
          <w:tcPr>
            <w:tcW w:type="dxa" w:w="3600"/>
            <w:shd w:fill="F8FAFC"/>
            <w:tcMar>
              <w:top w:w="60" w:type="dxa"/>
              <w:bottom w:w="60" w:type="dxa"/>
              <w:left w:w="80" w:type="dxa"/>
              <w:right w:w="80" w:type="dxa"/>
            </w:tcMar>
          </w:tcPr>
          <w:p>
            <w:pPr>
              <w:spacing w:after="0"/>
            </w:pPr>
            <w:r>
              <w:rPr>
                <w:b/>
                <w:sz w:val="16"/>
              </w:rPr>
              <w:t>Recall (Sensitivity on Diabetics)</w:t>
            </w:r>
          </w:p>
        </w:tc>
        <w:tc>
          <w:tcPr>
            <w:tcW w:type="dxa" w:w="2016"/>
            <w:shd w:fill="F8FAFC"/>
            <w:tcMar>
              <w:top w:w="60" w:type="dxa"/>
              <w:bottom w:w="60" w:type="dxa"/>
              <w:left w:w="80" w:type="dxa"/>
              <w:right w:w="80" w:type="dxa"/>
            </w:tcMar>
          </w:tcPr>
          <w:p>
            <w:pPr>
              <w:spacing w:after="0"/>
            </w:pPr>
            <w:r>
              <w:rPr>
                <w:sz w:val="16"/>
              </w:rPr>
              <w:t>55.56% (30 / 54)</w:t>
            </w:r>
          </w:p>
        </w:tc>
        <w:tc>
          <w:tcPr>
            <w:tcW w:type="dxa" w:w="2016"/>
            <w:shd w:fill="F8FAFC"/>
            <w:tcMar>
              <w:top w:w="60" w:type="dxa"/>
              <w:bottom w:w="60" w:type="dxa"/>
              <w:left w:w="80" w:type="dxa"/>
              <w:right w:w="80" w:type="dxa"/>
            </w:tcMar>
          </w:tcPr>
          <w:p>
            <w:pPr>
              <w:spacing w:after="0"/>
            </w:pPr>
            <w:r>
              <w:rPr>
                <w:b/>
                <w:color w:val="0F766E"/>
                <w:sz w:val="16"/>
              </w:rPr>
              <w:t>83.33% (45 / 54)</w:t>
            </w:r>
          </w:p>
        </w:tc>
        <w:tc>
          <w:tcPr>
            <w:tcW w:type="dxa" w:w="2160"/>
            <w:shd w:fill="F8FAFC"/>
            <w:tcMar>
              <w:top w:w="60" w:type="dxa"/>
              <w:bottom w:w="60" w:type="dxa"/>
              <w:left w:w="80" w:type="dxa"/>
              <w:right w:w="80" w:type="dxa"/>
            </w:tcMar>
          </w:tcPr>
          <w:p>
            <w:pPr>
              <w:spacing w:after="0"/>
            </w:pPr>
            <w:r>
              <w:rPr>
                <w:b/>
                <w:color w:val="0F766E"/>
                <w:sz w:val="16"/>
              </w:rPr>
              <w:t>81.48% (44 / 54)</w:t>
            </w:r>
          </w:p>
        </w:tc>
      </w:tr>
      <w:tr>
        <w:tc>
          <w:tcPr>
            <w:tcW w:type="dxa" w:w="3600"/>
            <w:shd w:fill="FFFFFF"/>
            <w:tcMar>
              <w:top w:w="60" w:type="dxa"/>
              <w:bottom w:w="60" w:type="dxa"/>
              <w:left w:w="80" w:type="dxa"/>
              <w:right w:w="80" w:type="dxa"/>
            </w:tcMar>
          </w:tcPr>
          <w:p>
            <w:pPr>
              <w:spacing w:after="0"/>
            </w:pPr>
            <w:r>
              <w:rPr>
                <w:b/>
                <w:sz w:val="16"/>
              </w:rPr>
              <w:t>Precision</w:t>
            </w:r>
          </w:p>
        </w:tc>
        <w:tc>
          <w:tcPr>
            <w:tcW w:type="dxa" w:w="2016"/>
            <w:shd w:fill="FFFFFF"/>
            <w:tcMar>
              <w:top w:w="60" w:type="dxa"/>
              <w:bottom w:w="60" w:type="dxa"/>
              <w:left w:w="80" w:type="dxa"/>
              <w:right w:w="80" w:type="dxa"/>
            </w:tcMar>
          </w:tcPr>
          <w:p>
            <w:pPr>
              <w:spacing w:after="0"/>
            </w:pPr>
            <w:r>
              <w:rPr>
                <w:sz w:val="16"/>
              </w:rPr>
              <w:t>65.22%</w:t>
            </w:r>
          </w:p>
        </w:tc>
        <w:tc>
          <w:tcPr>
            <w:tcW w:type="dxa" w:w="2016"/>
            <w:shd w:fill="FFFFFF"/>
            <w:tcMar>
              <w:top w:w="60" w:type="dxa"/>
              <w:bottom w:w="60" w:type="dxa"/>
              <w:left w:w="80" w:type="dxa"/>
              <w:right w:w="80" w:type="dxa"/>
            </w:tcMar>
          </w:tcPr>
          <w:p>
            <w:pPr>
              <w:spacing w:after="0"/>
            </w:pPr>
            <w:r>
              <w:rPr>
                <w:sz w:val="16"/>
              </w:rPr>
              <w:t>58.44%</w:t>
            </w:r>
          </w:p>
        </w:tc>
        <w:tc>
          <w:tcPr>
            <w:tcW w:type="dxa" w:w="2160"/>
            <w:shd w:fill="FFFFFF"/>
            <w:tcMar>
              <w:top w:w="60" w:type="dxa"/>
              <w:bottom w:w="60" w:type="dxa"/>
              <w:left w:w="80" w:type="dxa"/>
              <w:right w:w="80" w:type="dxa"/>
            </w:tcMar>
          </w:tcPr>
          <w:p>
            <w:pPr>
              <w:spacing w:after="0"/>
            </w:pPr>
            <w:r>
              <w:rPr>
                <w:sz w:val="16"/>
              </w:rPr>
              <w:t>61.11%</w:t>
            </w:r>
          </w:p>
        </w:tc>
      </w:tr>
      <w:tr>
        <w:tc>
          <w:tcPr>
            <w:tcW w:type="dxa" w:w="3600"/>
            <w:shd w:fill="F8FAFC"/>
            <w:tcMar>
              <w:top w:w="60" w:type="dxa"/>
              <w:bottom w:w="60" w:type="dxa"/>
              <w:left w:w="80" w:type="dxa"/>
              <w:right w:w="80" w:type="dxa"/>
            </w:tcMar>
          </w:tcPr>
          <w:p>
            <w:pPr>
              <w:spacing w:after="0"/>
            </w:pPr>
            <w:r>
              <w:rPr>
                <w:b/>
                <w:sz w:val="16"/>
              </w:rPr>
              <w:t>F1-Score</w:t>
            </w:r>
          </w:p>
        </w:tc>
        <w:tc>
          <w:tcPr>
            <w:tcW w:type="dxa" w:w="2016"/>
            <w:shd w:fill="F8FAFC"/>
            <w:tcMar>
              <w:top w:w="60" w:type="dxa"/>
              <w:bottom w:w="60" w:type="dxa"/>
              <w:left w:w="80" w:type="dxa"/>
              <w:right w:w="80" w:type="dxa"/>
            </w:tcMar>
          </w:tcPr>
          <w:p>
            <w:pPr>
              <w:spacing w:after="0"/>
            </w:pPr>
            <w:r>
              <w:rPr>
                <w:sz w:val="16"/>
              </w:rPr>
              <w:t>60.00%</w:t>
            </w:r>
          </w:p>
        </w:tc>
        <w:tc>
          <w:tcPr>
            <w:tcW w:type="dxa" w:w="2016"/>
            <w:shd w:fill="F8FAFC"/>
            <w:tcMar>
              <w:top w:w="60" w:type="dxa"/>
              <w:bottom w:w="60" w:type="dxa"/>
              <w:left w:w="80" w:type="dxa"/>
              <w:right w:w="80" w:type="dxa"/>
            </w:tcMar>
          </w:tcPr>
          <w:p>
            <w:pPr>
              <w:spacing w:after="0"/>
            </w:pPr>
            <w:r>
              <w:rPr>
                <w:sz w:val="16"/>
              </w:rPr>
              <w:t>68.70%</w:t>
            </w:r>
          </w:p>
        </w:tc>
        <w:tc>
          <w:tcPr>
            <w:tcW w:type="dxa" w:w="2160"/>
            <w:shd w:fill="F8FAFC"/>
            <w:tcMar>
              <w:top w:w="60" w:type="dxa"/>
              <w:bottom w:w="60" w:type="dxa"/>
              <w:left w:w="80" w:type="dxa"/>
              <w:right w:w="80" w:type="dxa"/>
            </w:tcMar>
          </w:tcPr>
          <w:p>
            <w:pPr>
              <w:spacing w:after="0"/>
            </w:pPr>
            <w:r>
              <w:rPr>
                <w:sz w:val="16"/>
              </w:rPr>
              <w:t>69.84%</w:t>
            </w:r>
          </w:p>
        </w:tc>
      </w:tr>
      <w:tr>
        <w:tc>
          <w:tcPr>
            <w:tcW w:type="dxa" w:w="3600"/>
            <w:shd w:fill="FFFFFF"/>
            <w:tcMar>
              <w:top w:w="60" w:type="dxa"/>
              <w:bottom w:w="60" w:type="dxa"/>
              <w:left w:w="80" w:type="dxa"/>
              <w:right w:w="80" w:type="dxa"/>
            </w:tcMar>
          </w:tcPr>
          <w:p>
            <w:pPr>
              <w:spacing w:after="0"/>
            </w:pPr>
            <w:r>
              <w:rPr>
                <w:b/>
                <w:sz w:val="16"/>
              </w:rPr>
              <w:t>F2-Score (Recall Prioritized)</w:t>
            </w:r>
          </w:p>
        </w:tc>
        <w:tc>
          <w:tcPr>
            <w:tcW w:type="dxa" w:w="2016"/>
            <w:shd w:fill="FFFFFF"/>
            <w:tcMar>
              <w:top w:w="60" w:type="dxa"/>
              <w:bottom w:w="60" w:type="dxa"/>
              <w:left w:w="80" w:type="dxa"/>
              <w:right w:w="80" w:type="dxa"/>
            </w:tcMar>
          </w:tcPr>
          <w:p>
            <w:pPr>
              <w:spacing w:after="0"/>
            </w:pPr>
            <w:r>
              <w:rPr>
                <w:sz w:val="16"/>
              </w:rPr>
              <w:t>57.25%</w:t>
            </w:r>
          </w:p>
        </w:tc>
        <w:tc>
          <w:tcPr>
            <w:tcW w:type="dxa" w:w="2016"/>
            <w:shd w:fill="FFFFFF"/>
            <w:tcMar>
              <w:top w:w="60" w:type="dxa"/>
              <w:bottom w:w="60" w:type="dxa"/>
              <w:left w:w="80" w:type="dxa"/>
              <w:right w:w="80" w:type="dxa"/>
            </w:tcMar>
          </w:tcPr>
          <w:p>
            <w:pPr>
              <w:spacing w:after="0"/>
            </w:pPr>
            <w:r>
              <w:rPr>
                <w:sz w:val="16"/>
              </w:rPr>
              <w:t>76.79%</w:t>
            </w:r>
          </w:p>
        </w:tc>
        <w:tc>
          <w:tcPr>
            <w:tcW w:type="dxa" w:w="2160"/>
            <w:shd w:fill="FFFFFF"/>
            <w:tcMar>
              <w:top w:w="60" w:type="dxa"/>
              <w:bottom w:w="60" w:type="dxa"/>
              <w:left w:w="80" w:type="dxa"/>
              <w:right w:w="80" w:type="dxa"/>
            </w:tcMar>
          </w:tcPr>
          <w:p>
            <w:pPr>
              <w:spacing w:after="0"/>
            </w:pPr>
            <w:r>
              <w:rPr>
                <w:sz w:val="16"/>
              </w:rPr>
              <w:t>76.39%</w:t>
            </w:r>
          </w:p>
        </w:tc>
      </w:tr>
      <w:tr>
        <w:tc>
          <w:tcPr>
            <w:tcW w:type="dxa" w:w="3600"/>
            <w:shd w:fill="F8FAFC"/>
            <w:tcMar>
              <w:top w:w="60" w:type="dxa"/>
              <w:bottom w:w="60" w:type="dxa"/>
              <w:left w:w="80" w:type="dxa"/>
              <w:right w:w="80" w:type="dxa"/>
            </w:tcMar>
          </w:tcPr>
          <w:p>
            <w:pPr>
              <w:spacing w:after="0"/>
            </w:pPr>
            <w:r>
              <w:rPr>
                <w:b/>
                <w:sz w:val="16"/>
              </w:rPr>
              <w:t>ROC-AUC Score</w:t>
            </w:r>
          </w:p>
        </w:tc>
        <w:tc>
          <w:tcPr>
            <w:tcW w:type="dxa" w:w="2016"/>
            <w:shd w:fill="F8FAFC"/>
            <w:tcMar>
              <w:top w:w="60" w:type="dxa"/>
              <w:bottom w:w="60" w:type="dxa"/>
              <w:left w:w="80" w:type="dxa"/>
              <w:right w:w="80" w:type="dxa"/>
            </w:tcMar>
          </w:tcPr>
          <w:p>
            <w:pPr>
              <w:spacing w:after="0"/>
            </w:pPr>
            <w:r>
              <w:rPr>
                <w:sz w:val="16"/>
              </w:rPr>
              <w:t>0.8198</w:t>
            </w:r>
          </w:p>
        </w:tc>
        <w:tc>
          <w:tcPr>
            <w:tcW w:type="dxa" w:w="2016"/>
            <w:shd w:fill="F8FAFC"/>
            <w:tcMar>
              <w:top w:w="60" w:type="dxa"/>
              <w:bottom w:w="60" w:type="dxa"/>
              <w:left w:w="80" w:type="dxa"/>
              <w:right w:w="80" w:type="dxa"/>
            </w:tcMar>
          </w:tcPr>
          <w:p>
            <w:pPr>
              <w:spacing w:after="0"/>
            </w:pPr>
            <w:r>
              <w:rPr>
                <w:sz w:val="16"/>
              </w:rPr>
              <w:t>0.8243</w:t>
            </w:r>
          </w:p>
        </w:tc>
        <w:tc>
          <w:tcPr>
            <w:tcW w:type="dxa" w:w="2160"/>
            <w:shd w:fill="F8FAFC"/>
            <w:tcMar>
              <w:top w:w="60" w:type="dxa"/>
              <w:bottom w:w="60" w:type="dxa"/>
              <w:left w:w="80" w:type="dxa"/>
              <w:right w:w="80" w:type="dxa"/>
            </w:tcMar>
          </w:tcPr>
          <w:p>
            <w:pPr>
              <w:spacing w:after="0"/>
            </w:pPr>
            <w:r>
              <w:rPr>
                <w:sz w:val="16"/>
              </w:rPr>
              <w:t>0.8310</w:t>
            </w:r>
          </w:p>
        </w:tc>
      </w:tr>
      <w:tr>
        <w:tc>
          <w:tcPr>
            <w:tcW w:type="dxa" w:w="3600"/>
            <w:shd w:fill="FFFFFF"/>
            <w:tcMar>
              <w:top w:w="60" w:type="dxa"/>
              <w:bottom w:w="60" w:type="dxa"/>
              <w:left w:w="80" w:type="dxa"/>
              <w:right w:w="80" w:type="dxa"/>
            </w:tcMar>
          </w:tcPr>
          <w:p>
            <w:pPr>
              <w:spacing w:after="0"/>
            </w:pPr>
            <w:r>
              <w:rPr>
                <w:b/>
                <w:sz w:val="16"/>
              </w:rPr>
              <w:t>PR-AUC Score</w:t>
            </w:r>
          </w:p>
        </w:tc>
        <w:tc>
          <w:tcPr>
            <w:tcW w:type="dxa" w:w="2016"/>
            <w:shd w:fill="FFFFFF"/>
            <w:tcMar>
              <w:top w:w="60" w:type="dxa"/>
              <w:bottom w:w="60" w:type="dxa"/>
              <w:left w:w="80" w:type="dxa"/>
              <w:right w:w="80" w:type="dxa"/>
            </w:tcMar>
          </w:tcPr>
          <w:p>
            <w:pPr>
              <w:spacing w:after="0"/>
            </w:pPr>
            <w:r>
              <w:rPr>
                <w:sz w:val="16"/>
              </w:rPr>
              <w:t>0.6751</w:t>
            </w:r>
          </w:p>
        </w:tc>
        <w:tc>
          <w:tcPr>
            <w:tcW w:type="dxa" w:w="2016"/>
            <w:shd w:fill="FFFFFF"/>
            <w:tcMar>
              <w:top w:w="60" w:type="dxa"/>
              <w:bottom w:w="60" w:type="dxa"/>
              <w:left w:w="80" w:type="dxa"/>
              <w:right w:w="80" w:type="dxa"/>
            </w:tcMar>
          </w:tcPr>
          <w:p>
            <w:pPr>
              <w:spacing w:after="0"/>
            </w:pPr>
            <w:r>
              <w:rPr>
                <w:sz w:val="16"/>
              </w:rPr>
              <w:t>0.6918</w:t>
            </w:r>
          </w:p>
        </w:tc>
        <w:tc>
          <w:tcPr>
            <w:tcW w:type="dxa" w:w="2160"/>
            <w:shd w:fill="FFFFFF"/>
            <w:tcMar>
              <w:top w:w="60" w:type="dxa"/>
              <w:bottom w:w="60" w:type="dxa"/>
              <w:left w:w="80" w:type="dxa"/>
              <w:right w:w="80" w:type="dxa"/>
            </w:tcMar>
          </w:tcPr>
          <w:p>
            <w:pPr>
              <w:spacing w:after="0"/>
            </w:pPr>
            <w:r>
              <w:rPr>
                <w:sz w:val="16"/>
              </w:rPr>
              <w:t>0.7009</w:t>
            </w:r>
          </w:p>
        </w:tc>
      </w:tr>
      <w:tr>
        <w:tc>
          <w:tcPr>
            <w:tcW w:type="dxa" w:w="3600"/>
            <w:shd w:fill="F8FAFC"/>
            <w:tcMar>
              <w:top w:w="60" w:type="dxa"/>
              <w:bottom w:w="60" w:type="dxa"/>
              <w:left w:w="80" w:type="dxa"/>
              <w:right w:w="80" w:type="dxa"/>
            </w:tcMar>
          </w:tcPr>
          <w:p>
            <w:pPr>
              <w:spacing w:after="0"/>
            </w:pPr>
            <w:r>
              <w:rPr>
                <w:b/>
                <w:sz w:val="16"/>
              </w:rPr>
              <w:t>Brier Score (Probability Calibration)</w:t>
            </w:r>
          </w:p>
        </w:tc>
        <w:tc>
          <w:tcPr>
            <w:tcW w:type="dxa" w:w="2016"/>
            <w:shd w:fill="F8FAFC"/>
            <w:tcMar>
              <w:top w:w="60" w:type="dxa"/>
              <w:bottom w:w="60" w:type="dxa"/>
              <w:left w:w="80" w:type="dxa"/>
              <w:right w:w="80" w:type="dxa"/>
            </w:tcMar>
          </w:tcPr>
          <w:p>
            <w:pPr>
              <w:spacing w:after="0"/>
            </w:pPr>
            <w:r>
              <w:rPr>
                <w:sz w:val="16"/>
              </w:rPr>
              <w:t>0.1812</w:t>
            </w:r>
          </w:p>
        </w:tc>
        <w:tc>
          <w:tcPr>
            <w:tcW w:type="dxa" w:w="2016"/>
            <w:shd w:fill="F8FAFC"/>
            <w:tcMar>
              <w:top w:w="60" w:type="dxa"/>
              <w:bottom w:w="60" w:type="dxa"/>
              <w:left w:w="80" w:type="dxa"/>
              <w:right w:w="80" w:type="dxa"/>
            </w:tcMar>
          </w:tcPr>
          <w:p>
            <w:pPr>
              <w:spacing w:after="0"/>
            </w:pPr>
            <w:r>
              <w:rPr>
                <w:sz w:val="16"/>
              </w:rPr>
              <w:t>0.1745</w:t>
            </w:r>
          </w:p>
        </w:tc>
        <w:tc>
          <w:tcPr>
            <w:tcW w:type="dxa" w:w="2160"/>
            <w:shd w:fill="F8FAFC"/>
            <w:tcMar>
              <w:top w:w="60" w:type="dxa"/>
              <w:bottom w:w="60" w:type="dxa"/>
              <w:left w:w="80" w:type="dxa"/>
              <w:right w:w="80" w:type="dxa"/>
            </w:tcMar>
          </w:tcPr>
          <w:p>
            <w:pPr>
              <w:spacing w:after="0"/>
            </w:pPr>
            <w:r>
              <w:rPr>
                <w:sz w:val="16"/>
              </w:rPr>
              <w:t>0.1670 (Lowest calibration error)</w:t>
            </w:r>
          </w:p>
        </w:tc>
      </w:tr>
      <w:tr>
        <w:tc>
          <w:tcPr>
            <w:tcW w:type="dxa" w:w="3600"/>
            <w:shd w:fill="FFFFFF"/>
            <w:tcMar>
              <w:top w:w="60" w:type="dxa"/>
              <w:bottom w:w="60" w:type="dxa"/>
              <w:left w:w="80" w:type="dxa"/>
              <w:right w:w="80" w:type="dxa"/>
            </w:tcMar>
          </w:tcPr>
          <w:p>
            <w:pPr>
              <w:spacing w:after="0"/>
            </w:pPr>
            <w:r>
              <w:rPr>
                <w:b/>
                <w:sz w:val="16"/>
              </w:rPr>
              <w:t>False Negatives (Missed Diabetic Cases)</w:t>
            </w:r>
          </w:p>
        </w:tc>
        <w:tc>
          <w:tcPr>
            <w:tcW w:type="dxa" w:w="2016"/>
            <w:shd w:fill="FFFFFF"/>
            <w:tcMar>
              <w:top w:w="60" w:type="dxa"/>
              <w:bottom w:w="60" w:type="dxa"/>
              <w:left w:w="80" w:type="dxa"/>
              <w:right w:w="80" w:type="dxa"/>
            </w:tcMar>
          </w:tcPr>
          <w:p>
            <w:pPr>
              <w:spacing w:after="0"/>
            </w:pPr>
            <w:r>
              <w:rPr>
                <w:sz w:val="16"/>
              </w:rPr>
              <w:t>24 missed patients</w:t>
            </w:r>
          </w:p>
        </w:tc>
        <w:tc>
          <w:tcPr>
            <w:tcW w:type="dxa" w:w="2016"/>
            <w:shd w:fill="FFFFFF"/>
            <w:tcMar>
              <w:top w:w="60" w:type="dxa"/>
              <w:bottom w:w="60" w:type="dxa"/>
              <w:left w:w="80" w:type="dxa"/>
              <w:right w:w="80" w:type="dxa"/>
            </w:tcMar>
          </w:tcPr>
          <w:p>
            <w:pPr>
              <w:spacing w:after="0"/>
            </w:pPr>
            <w:r>
              <w:rPr>
                <w:b/>
                <w:color w:val="0F766E"/>
                <w:sz w:val="16"/>
              </w:rPr>
              <w:t>9 missed (-62.5%)</w:t>
            </w:r>
          </w:p>
        </w:tc>
        <w:tc>
          <w:tcPr>
            <w:tcW w:type="dxa" w:w="2160"/>
            <w:shd w:fill="FFFFFF"/>
            <w:tcMar>
              <w:top w:w="60" w:type="dxa"/>
              <w:bottom w:w="60" w:type="dxa"/>
              <w:left w:w="80" w:type="dxa"/>
              <w:right w:w="80" w:type="dxa"/>
            </w:tcMar>
          </w:tcPr>
          <w:p>
            <w:pPr>
              <w:spacing w:after="0"/>
            </w:pPr>
            <w:r>
              <w:rPr>
                <w:b/>
                <w:color w:val="0F766E"/>
                <w:sz w:val="16"/>
              </w:rPr>
              <w:t>10 missed (-58.3%)</w:t>
            </w:r>
          </w:p>
        </w:tc>
      </w:tr>
    </w:tbl>
    <w:p>
      <w:pPr>
        <w:spacing w:after="240"/>
      </w:pPr>
    </w:p>
    <w:p>
      <w:pPr>
        <w:pStyle w:val="Heading2"/>
        <w:keepNext/>
        <w:spacing w:before="240" w:after="80"/>
      </w:pPr>
      <w:r>
        <w:rPr>
          <w:rFonts w:ascii="Calibri" w:hAnsi="Calibri"/>
          <w:b/>
          <w:color w:val="1E293B"/>
          <w:sz w:val="26"/>
        </w:rPr>
        <w:t>Diagnostic Figures: ROC Curves &amp; Model Discrimination</w:t>
      </w:r>
    </w:p>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5303520" cy="3977640"/>
                    </a:xfrm>
                    <a:prstGeom prst="rect"/>
                  </pic:spPr>
                </pic:pic>
              </a:graphicData>
            </a:graphic>
          </wp:inline>
        </w:drawing>
      </w:r>
    </w:p>
    <w:p>
      <w:pPr>
        <w:jc w:val="center"/>
      </w:pPr>
      <w:r>
        <w:t>Figure 1: Receiver Operating Characteristic (ROC) curve comparison across candidate models.</w:t>
      </w:r>
    </w:p>
    <w:p>
      <w:pPr>
        <w:spacing w:after="120"/>
      </w:pPr>
    </w:p>
    <w:p>
      <w:pPr>
        <w:pStyle w:val="Heading1"/>
        <w:keepNext/>
        <w:spacing w:before="320" w:after="120"/>
      </w:pPr>
      <w:r>
        <w:rPr>
          <w:rFonts w:ascii="Calibri" w:hAnsi="Calibri"/>
          <w:b/>
          <w:color w:val="0F766E"/>
          <w:sz w:val="32"/>
        </w:rPr>
        <w:t>6. Dual Local Explainability (SHAP vs. LIME)</w:t>
      </w:r>
    </w:p>
    <w:p>
      <w:r>
        <w:t>To eliminate reliance on a single explainability method, the framework combines game-theoretic local Shapley attributions (TreeExplainer) with local linear surrogate approximations (LIME). This dual approach validates whether independent interpretability formulations reach consensus on which physiological variables govern the prediction.</w:t>
      </w:r>
    </w:p>
    <w:p>
      <w:pPr>
        <w:jc w:val="center"/>
      </w:pPr>
      <w:r>
        <w:drawing>
          <wp:inline xmlns:a="http://schemas.openxmlformats.org/drawingml/2006/main" xmlns:pic="http://schemas.openxmlformats.org/drawingml/2006/picture">
            <wp:extent cx="5303520" cy="3157078"/>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5303520" cy="3157078"/>
                    </a:xfrm>
                    <a:prstGeom prst="rect"/>
                  </pic:spPr>
                </pic:pic>
              </a:graphicData>
            </a:graphic>
          </wp:inline>
        </w:drawing>
      </w:r>
    </w:p>
    <w:p>
      <w:pPr>
        <w:jc w:val="center"/>
      </w:pPr>
      <w:r>
        <w:t>Figure 2: Global SHAP summary beeswarm plot illustrating feature value distributions and risk impacts.</w:t>
      </w:r>
    </w:p>
    <w:p>
      <w:pPr>
        <w:spacing w:after="120"/>
      </w:pPr>
    </w:p>
    <w:p>
      <w:pPr>
        <w:jc w:val="center"/>
      </w:pPr>
      <w:r>
        <w:drawing>
          <wp:inline xmlns:a="http://schemas.openxmlformats.org/drawingml/2006/main" xmlns:pic="http://schemas.openxmlformats.org/drawingml/2006/picture">
            <wp:extent cx="5303520" cy="3241040"/>
            <wp:docPr id="3" name="Picture 3"/>
            <wp:cNvGraphicFramePr>
              <a:graphicFrameLocks noChangeAspect="1"/>
            </wp:cNvGraphicFramePr>
            <a:graphic>
              <a:graphicData uri="http://schemas.openxmlformats.org/drawingml/2006/picture">
                <pic:pic>
                  <pic:nvPicPr>
                    <pic:cNvPr id="0" name="shap_lime_comparison.png"/>
                    <pic:cNvPicPr/>
                  </pic:nvPicPr>
                  <pic:blipFill>
                    <a:blip r:embed="rId11"/>
                    <a:stretch>
                      <a:fillRect/>
                    </a:stretch>
                  </pic:blipFill>
                  <pic:spPr>
                    <a:xfrm>
                      <a:off x="0" y="0"/>
                      <a:ext cx="5303520" cy="3241040"/>
                    </a:xfrm>
                    <a:prstGeom prst="rect"/>
                  </pic:spPr>
                </pic:pic>
              </a:graphicData>
            </a:graphic>
          </wp:inline>
        </w:drawing>
      </w:r>
    </w:p>
    <w:p>
      <w:pPr>
        <w:jc w:val="center"/>
      </w:pPr>
      <w:r>
        <w:t>Figure 3: Concordance comparison between SHAP Shapley attributions and LIME surrogate weights.</w:t>
      </w:r>
    </w:p>
    <w:p>
      <w:pPr>
        <w:spacing w:after="120"/>
      </w:pPr>
    </w:p>
    <w:p>
      <w:r>
        <w:t>Quantitative concordance metrics evaluated on holdout predictions demonstrated high consistency:</w:t>
        <w:br/>
        <w:t>• Spearman Rank Correlation: rho = 0.8810 (p = 0.0039), confirming strong monotonic feature alignment.</w:t>
        <w:br/>
        <w:t>• Top-3 Feature Overlap (Jaccard Index): 1.00 (100% agreement on the three primary drivers).</w:t>
        <w:br/>
        <w:t>• Sign Concordance: 100%, indicating perfect agreement on directional risk elevation vs. mitigation.</w:t>
      </w:r>
    </w:p>
    <w:p>
      <w:pPr>
        <w:pStyle w:val="Heading1"/>
        <w:keepNext/>
        <w:spacing w:before="320" w:after="120"/>
      </w:pPr>
      <w:r>
        <w:rPr>
          <w:rFonts w:ascii="Calibri" w:hAnsi="Calibri"/>
          <w:b/>
          <w:color w:val="0F766E"/>
          <w:sz w:val="32"/>
        </w:rPr>
        <w:t>7. Personalized SHAP-Based Recommendation Engine</w:t>
      </w:r>
    </w:p>
    <w:p>
      <w:r>
        <w:t>A central innovation of this project is replacing static, generic advice with a deterministic educational guidance engine (services/recommendations.py). The engine dynamically interrogates the patient's local signed SHAP attributions to generate tailored wellness recommendations directly connected to the specific variables pushing the model toward elevated risk.</w:t>
      </w:r>
    </w:p>
    <w:p>
      <w:pPr>
        <w:pStyle w:val="Heading2"/>
        <w:keepNext/>
        <w:spacing w:before="240" w:after="80"/>
      </w:pPr>
      <w:r>
        <w:rPr>
          <w:rFonts w:ascii="Calibri" w:hAnsi="Calibri"/>
          <w:b/>
          <w:color w:val="1E293B"/>
          <w:sz w:val="26"/>
        </w:rPr>
        <w:t>Table 4: Feature Modifiability &amp; Personalized Clinical Guidance Rules</w:t>
      </w:r>
    </w:p>
    <w:tbl>
      <w:tblPr>
        <w:tblW w:type="auto" w:w="0"/>
        <w:jc w:val="center"/>
        <w:tblLook w:firstColumn="1" w:firstRow="1" w:lastColumn="0" w:lastRow="0" w:noHBand="0" w:noVBand="1" w:val="04A0"/>
      </w:tblPr>
      <w:tblGrid>
        <w:gridCol w:w="3312"/>
        <w:gridCol w:w="3312"/>
        <w:gridCol w:w="3312"/>
      </w:tblGrid>
      <w:tr>
        <w:tc>
          <w:tcPr>
            <w:tcW w:type="dxa" w:w="2592"/>
            <w:shd w:fill="0F766E"/>
            <w:tcMar>
              <w:top w:w="100" w:type="dxa"/>
              <w:bottom w:w="100" w:type="dxa"/>
              <w:left w:w="100" w:type="dxa"/>
              <w:right w:w="100" w:type="dxa"/>
            </w:tcMar>
          </w:tcPr>
          <w:p>
            <w:pPr>
              <w:spacing w:after="0"/>
            </w:pPr>
            <w:r>
              <w:rPr>
                <w:b/>
                <w:color w:val="FFFFFF"/>
                <w:sz w:val="17"/>
              </w:rPr>
              <w:t>Clinical Parameter</w:t>
            </w:r>
          </w:p>
        </w:tc>
        <w:tc>
          <w:tcPr>
            <w:tcW w:type="dxa" w:w="2016"/>
            <w:shd w:fill="0F766E"/>
            <w:tcMar>
              <w:top w:w="100" w:type="dxa"/>
              <w:bottom w:w="100" w:type="dxa"/>
              <w:left w:w="100" w:type="dxa"/>
              <w:right w:w="100" w:type="dxa"/>
            </w:tcMar>
          </w:tcPr>
          <w:p>
            <w:pPr>
              <w:spacing w:after="0"/>
            </w:pPr>
            <w:r>
              <w:rPr>
                <w:b/>
                <w:color w:val="FFFFFF"/>
                <w:sz w:val="17"/>
              </w:rPr>
              <w:t>Factor Modifiability</w:t>
            </w:r>
          </w:p>
        </w:tc>
        <w:tc>
          <w:tcPr>
            <w:tcW w:type="dxa" w:w="5184"/>
            <w:shd w:fill="0F766E"/>
            <w:tcMar>
              <w:top w:w="100" w:type="dxa"/>
              <w:bottom w:w="100" w:type="dxa"/>
              <w:left w:w="100" w:type="dxa"/>
              <w:right w:w="100" w:type="dxa"/>
            </w:tcMar>
          </w:tcPr>
          <w:p>
            <w:pPr>
              <w:spacing w:after="0"/>
            </w:pPr>
            <w:r>
              <w:rPr>
                <w:b/>
                <w:color w:val="FFFFFF"/>
                <w:sz w:val="17"/>
              </w:rPr>
              <w:t>Model Context &amp; Personalized Guidance Rules</w:t>
            </w:r>
          </w:p>
        </w:tc>
      </w:tr>
      <w:tr>
        <w:tc>
          <w:tcPr>
            <w:tcW w:type="dxa" w:w="2592"/>
            <w:shd w:fill="FFFFFF"/>
            <w:tcMar>
              <w:top w:w="60" w:type="dxa"/>
              <w:bottom w:w="60" w:type="dxa"/>
              <w:left w:w="80" w:type="dxa"/>
              <w:right w:w="80" w:type="dxa"/>
            </w:tcMar>
          </w:tcPr>
          <w:p>
            <w:pPr>
              <w:spacing w:after="0"/>
            </w:pPr>
            <w:r>
              <w:rPr>
                <w:b/>
                <w:sz w:val="16"/>
              </w:rPr>
              <w:t>Glucose</w:t>
            </w:r>
          </w:p>
        </w:tc>
        <w:tc>
          <w:tcPr>
            <w:tcW w:type="dxa" w:w="2016"/>
            <w:shd w:fill="FFFFFF"/>
            <w:tcMar>
              <w:top w:w="60" w:type="dxa"/>
              <w:bottom w:w="60" w:type="dxa"/>
              <w:left w:w="80" w:type="dxa"/>
              <w:right w:w="80" w:type="dxa"/>
            </w:tcMar>
          </w:tcPr>
          <w:p>
            <w:pPr>
              <w:spacing w:after="0"/>
            </w:pPr>
            <w:r>
              <w:rPr>
                <w:sz w:val="16"/>
              </w:rPr>
              <w:t>Modifiable</w:t>
            </w:r>
          </w:p>
        </w:tc>
        <w:tc>
          <w:tcPr>
            <w:tcW w:type="dxa" w:w="5184"/>
            <w:shd w:fill="FFFFFF"/>
            <w:tcMar>
              <w:top w:w="60" w:type="dxa"/>
              <w:bottom w:w="60" w:type="dxa"/>
              <w:left w:w="80" w:type="dxa"/>
              <w:right w:w="80" w:type="dxa"/>
            </w:tcMar>
          </w:tcPr>
          <w:p>
            <w:pPr>
              <w:spacing w:after="0"/>
            </w:pPr>
            <w:r>
              <w:rPr>
                <w:sz w:val="16"/>
              </w:rPr>
              <w:t>Suggests physician discussion regarding fasting plasma glucose and HbA1c screening; emphasizes dietary fiber, whole grains, and limiting refined sugars. Strictly forbids independent medication changes.</w:t>
            </w:r>
          </w:p>
        </w:tc>
      </w:tr>
      <w:tr>
        <w:tc>
          <w:tcPr>
            <w:tcW w:type="dxa" w:w="2592"/>
            <w:shd w:fill="F8FAFC"/>
            <w:tcMar>
              <w:top w:w="60" w:type="dxa"/>
              <w:bottom w:w="60" w:type="dxa"/>
              <w:left w:w="80" w:type="dxa"/>
              <w:right w:w="80" w:type="dxa"/>
            </w:tcMar>
          </w:tcPr>
          <w:p>
            <w:pPr>
              <w:spacing w:after="0"/>
            </w:pPr>
            <w:r>
              <w:rPr>
                <w:b/>
                <w:sz w:val="16"/>
              </w:rPr>
              <w:t>BMI</w:t>
            </w:r>
          </w:p>
        </w:tc>
        <w:tc>
          <w:tcPr>
            <w:tcW w:type="dxa" w:w="2016"/>
            <w:shd w:fill="F8FAFC"/>
            <w:tcMar>
              <w:top w:w="60" w:type="dxa"/>
              <w:bottom w:w="60" w:type="dxa"/>
              <w:left w:w="80" w:type="dxa"/>
              <w:right w:w="80" w:type="dxa"/>
            </w:tcMar>
          </w:tcPr>
          <w:p>
            <w:pPr>
              <w:spacing w:after="0"/>
            </w:pPr>
            <w:r>
              <w:rPr>
                <w:sz w:val="16"/>
              </w:rPr>
              <w:t>Modifiable</w:t>
            </w:r>
          </w:p>
        </w:tc>
        <w:tc>
          <w:tcPr>
            <w:tcW w:type="dxa" w:w="5184"/>
            <w:shd w:fill="F8FAFC"/>
            <w:tcMar>
              <w:top w:w="60" w:type="dxa"/>
              <w:bottom w:w="60" w:type="dxa"/>
              <w:left w:w="80" w:type="dxa"/>
              <w:right w:w="80" w:type="dxa"/>
            </w:tcMar>
          </w:tcPr>
          <w:p>
            <w:pPr>
              <w:spacing w:after="0"/>
            </w:pPr>
            <w:r>
              <w:rPr>
                <w:sz w:val="16"/>
              </w:rPr>
              <w:t>Encourages sustainable healthy eating patterns and physical activity tailored to fitness. Avoids crash diets and never promises that losing X kg will drop risk by Y%.</w:t>
            </w:r>
          </w:p>
        </w:tc>
      </w:tr>
      <w:tr>
        <w:tc>
          <w:tcPr>
            <w:tcW w:type="dxa" w:w="2592"/>
            <w:shd w:fill="FFFFFF"/>
            <w:tcMar>
              <w:top w:w="60" w:type="dxa"/>
              <w:bottom w:w="60" w:type="dxa"/>
              <w:left w:w="80" w:type="dxa"/>
              <w:right w:w="80" w:type="dxa"/>
            </w:tcMar>
          </w:tcPr>
          <w:p>
            <w:pPr>
              <w:spacing w:after="0"/>
            </w:pPr>
            <w:r>
              <w:rPr>
                <w:b/>
                <w:sz w:val="16"/>
              </w:rPr>
              <w:t>BloodPressure</w:t>
            </w:r>
          </w:p>
        </w:tc>
        <w:tc>
          <w:tcPr>
            <w:tcW w:type="dxa" w:w="2016"/>
            <w:shd w:fill="FFFFFF"/>
            <w:tcMar>
              <w:top w:w="60" w:type="dxa"/>
              <w:bottom w:w="60" w:type="dxa"/>
              <w:left w:w="80" w:type="dxa"/>
              <w:right w:w="80" w:type="dxa"/>
            </w:tcMar>
          </w:tcPr>
          <w:p>
            <w:pPr>
              <w:spacing w:after="0"/>
            </w:pPr>
            <w:r>
              <w:rPr>
                <w:sz w:val="16"/>
              </w:rPr>
              <w:t>Modifiable</w:t>
            </w:r>
          </w:p>
        </w:tc>
        <w:tc>
          <w:tcPr>
            <w:tcW w:type="dxa" w:w="5184"/>
            <w:shd w:fill="FFFFFF"/>
            <w:tcMar>
              <w:top w:w="60" w:type="dxa"/>
              <w:bottom w:w="60" w:type="dxa"/>
              <w:left w:w="80" w:type="dxa"/>
              <w:right w:w="80" w:type="dxa"/>
            </w:tcMar>
          </w:tcPr>
          <w:p>
            <w:pPr>
              <w:spacing w:after="0"/>
            </w:pPr>
            <w:r>
              <w:rPr>
                <w:sz w:val="16"/>
              </w:rPr>
              <w:t>Encourages resting blood pressure monitoring and sodium reduction. Clarifies that a single input reading does not constitute a diagnosis of hypertension.</w:t>
            </w:r>
          </w:p>
        </w:tc>
      </w:tr>
      <w:tr>
        <w:tc>
          <w:tcPr>
            <w:tcW w:type="dxa" w:w="2592"/>
            <w:shd w:fill="F8FAFC"/>
            <w:tcMar>
              <w:top w:w="60" w:type="dxa"/>
              <w:bottom w:w="60" w:type="dxa"/>
              <w:left w:w="80" w:type="dxa"/>
              <w:right w:w="80" w:type="dxa"/>
            </w:tcMar>
          </w:tcPr>
          <w:p>
            <w:pPr>
              <w:spacing w:after="0"/>
            </w:pPr>
            <w:r>
              <w:rPr>
                <w:b/>
                <w:sz w:val="16"/>
              </w:rPr>
              <w:t>Insulin</w:t>
            </w:r>
          </w:p>
        </w:tc>
        <w:tc>
          <w:tcPr>
            <w:tcW w:type="dxa" w:w="2016"/>
            <w:shd w:fill="F8FAFC"/>
            <w:tcMar>
              <w:top w:w="60" w:type="dxa"/>
              <w:bottom w:w="60" w:type="dxa"/>
              <w:left w:w="80" w:type="dxa"/>
              <w:right w:w="80" w:type="dxa"/>
            </w:tcMar>
          </w:tcPr>
          <w:p>
            <w:pPr>
              <w:spacing w:after="0"/>
            </w:pPr>
            <w:r>
              <w:rPr>
                <w:sz w:val="16"/>
              </w:rPr>
              <w:t>Modifiable</w:t>
            </w:r>
          </w:p>
        </w:tc>
        <w:tc>
          <w:tcPr>
            <w:tcW w:type="dxa" w:w="5184"/>
            <w:shd w:fill="F8FAFC"/>
            <w:tcMar>
              <w:top w:w="60" w:type="dxa"/>
              <w:bottom w:w="60" w:type="dxa"/>
              <w:left w:w="80" w:type="dxa"/>
              <w:right w:w="80" w:type="dxa"/>
            </w:tcMar>
          </w:tcPr>
          <w:p>
            <w:pPr>
              <w:spacing w:after="0"/>
            </w:pPr>
            <w:r>
              <w:rPr>
                <w:sz w:val="16"/>
              </w:rPr>
              <w:t>Recommends comprehensive metabolic evaluation with a physician; reminds patient that model uses insulin as a predictive feature, not proof of insulin resistance.</w:t>
            </w:r>
          </w:p>
        </w:tc>
      </w:tr>
      <w:tr>
        <w:tc>
          <w:tcPr>
            <w:tcW w:type="dxa" w:w="2592"/>
            <w:shd w:fill="FFFFFF"/>
            <w:tcMar>
              <w:top w:w="60" w:type="dxa"/>
              <w:bottom w:w="60" w:type="dxa"/>
              <w:left w:w="80" w:type="dxa"/>
              <w:right w:w="80" w:type="dxa"/>
            </w:tcMar>
          </w:tcPr>
          <w:p>
            <w:pPr>
              <w:spacing w:after="0"/>
            </w:pPr>
            <w:r>
              <w:rPr>
                <w:b/>
                <w:sz w:val="16"/>
              </w:rPr>
              <w:t>Age</w:t>
            </w:r>
          </w:p>
        </w:tc>
        <w:tc>
          <w:tcPr>
            <w:tcW w:type="dxa" w:w="2016"/>
            <w:shd w:fill="FFFFFF"/>
            <w:tcMar>
              <w:top w:w="60" w:type="dxa"/>
              <w:bottom w:w="60" w:type="dxa"/>
              <w:left w:w="80" w:type="dxa"/>
              <w:right w:w="80" w:type="dxa"/>
            </w:tcMar>
          </w:tcPr>
          <w:p>
            <w:pPr>
              <w:spacing w:after="0"/>
            </w:pPr>
            <w:r>
              <w:rPr>
                <w:b/>
                <w:color w:val="B91C1C"/>
                <w:sz w:val="16"/>
              </w:rPr>
              <w:t>NON-MODIFIABLE</w:t>
            </w:r>
          </w:p>
        </w:tc>
        <w:tc>
          <w:tcPr>
            <w:tcW w:type="dxa" w:w="5184"/>
            <w:shd w:fill="FFFFFF"/>
            <w:tcMar>
              <w:top w:w="60" w:type="dxa"/>
              <w:bottom w:w="60" w:type="dxa"/>
              <w:left w:w="80" w:type="dxa"/>
              <w:right w:w="80" w:type="dxa"/>
            </w:tcMar>
          </w:tcPr>
          <w:p>
            <w:pPr>
              <w:spacing w:after="0"/>
            </w:pPr>
            <w:r>
              <w:rPr>
                <w:sz w:val="16"/>
              </w:rPr>
              <w:t>Designates age as non-modifiable; emphasizes healthy aging, age-appropriate routine screenings, and low-impact exercise. Zero advice to 'reduce age'.</w:t>
            </w:r>
          </w:p>
        </w:tc>
      </w:tr>
      <w:tr>
        <w:tc>
          <w:tcPr>
            <w:tcW w:type="dxa" w:w="2592"/>
            <w:shd w:fill="F8FAFC"/>
            <w:tcMar>
              <w:top w:w="60" w:type="dxa"/>
              <w:bottom w:w="60" w:type="dxa"/>
              <w:left w:w="80" w:type="dxa"/>
              <w:right w:w="80" w:type="dxa"/>
            </w:tcMar>
          </w:tcPr>
          <w:p>
            <w:pPr>
              <w:spacing w:after="0"/>
            </w:pPr>
            <w:r>
              <w:rPr>
                <w:b/>
                <w:sz w:val="16"/>
              </w:rPr>
              <w:t>Pregnancies</w:t>
            </w:r>
          </w:p>
        </w:tc>
        <w:tc>
          <w:tcPr>
            <w:tcW w:type="dxa" w:w="2016"/>
            <w:shd w:fill="F8FAFC"/>
            <w:tcMar>
              <w:top w:w="60" w:type="dxa"/>
              <w:bottom w:w="60" w:type="dxa"/>
              <w:left w:w="80" w:type="dxa"/>
              <w:right w:w="80" w:type="dxa"/>
            </w:tcMar>
          </w:tcPr>
          <w:p>
            <w:pPr>
              <w:spacing w:after="0"/>
            </w:pPr>
            <w:r>
              <w:rPr>
                <w:b/>
                <w:color w:val="B91C1C"/>
                <w:sz w:val="16"/>
              </w:rPr>
              <w:t>NON-MODIFIABLE</w:t>
            </w:r>
          </w:p>
        </w:tc>
        <w:tc>
          <w:tcPr>
            <w:tcW w:type="dxa" w:w="5184"/>
            <w:shd w:fill="F8FAFC"/>
            <w:tcMar>
              <w:top w:w="60" w:type="dxa"/>
              <w:bottom w:w="60" w:type="dxa"/>
              <w:left w:w="80" w:type="dxa"/>
              <w:right w:w="80" w:type="dxa"/>
            </w:tcMar>
          </w:tcPr>
          <w:p>
            <w:pPr>
              <w:spacing w:after="0"/>
            </w:pPr>
            <w:r>
              <w:rPr>
                <w:sz w:val="16"/>
              </w:rPr>
              <w:t>Historical obstetric marker; focuses on general metabolic wellness and maternal health history awareness.</w:t>
            </w:r>
          </w:p>
        </w:tc>
      </w:tr>
      <w:tr>
        <w:tc>
          <w:tcPr>
            <w:tcW w:type="dxa" w:w="2592"/>
            <w:shd w:fill="FFFFFF"/>
            <w:tcMar>
              <w:top w:w="60" w:type="dxa"/>
              <w:bottom w:w="60" w:type="dxa"/>
              <w:left w:w="80" w:type="dxa"/>
              <w:right w:w="80" w:type="dxa"/>
            </w:tcMar>
          </w:tcPr>
          <w:p>
            <w:pPr>
              <w:spacing w:after="0"/>
            </w:pPr>
            <w:r>
              <w:rPr>
                <w:b/>
                <w:sz w:val="16"/>
              </w:rPr>
              <w:t>DiabetesPedigreeFunction</w:t>
            </w:r>
          </w:p>
        </w:tc>
        <w:tc>
          <w:tcPr>
            <w:tcW w:type="dxa" w:w="2016"/>
            <w:shd w:fill="FFFFFF"/>
            <w:tcMar>
              <w:top w:w="60" w:type="dxa"/>
              <w:bottom w:w="60" w:type="dxa"/>
              <w:left w:w="80" w:type="dxa"/>
              <w:right w:w="80" w:type="dxa"/>
            </w:tcMar>
          </w:tcPr>
          <w:p>
            <w:pPr>
              <w:spacing w:after="0"/>
            </w:pPr>
            <w:r>
              <w:rPr>
                <w:b/>
                <w:color w:val="B91C1C"/>
                <w:sz w:val="16"/>
              </w:rPr>
              <w:t>NON-MODIFIABLE</w:t>
            </w:r>
          </w:p>
        </w:tc>
        <w:tc>
          <w:tcPr>
            <w:tcW w:type="dxa" w:w="5184"/>
            <w:shd w:fill="FFFFFF"/>
            <w:tcMar>
              <w:top w:w="60" w:type="dxa"/>
              <w:bottom w:w="60" w:type="dxa"/>
              <w:left w:w="80" w:type="dxa"/>
              <w:right w:w="80" w:type="dxa"/>
            </w:tcMar>
          </w:tcPr>
          <w:p>
            <w:pPr>
              <w:spacing w:after="0"/>
            </w:pPr>
            <w:r>
              <w:rPr>
                <w:sz w:val="16"/>
              </w:rPr>
              <w:t>Genetic predisposition score; encourages family medical history awareness and proactive lifestyle resilience.</w:t>
            </w:r>
          </w:p>
        </w:tc>
      </w:tr>
      <w:tr>
        <w:tc>
          <w:tcPr>
            <w:tcW w:type="dxa" w:w="2592"/>
            <w:shd w:fill="F8FAFC"/>
            <w:tcMar>
              <w:top w:w="60" w:type="dxa"/>
              <w:bottom w:w="60" w:type="dxa"/>
              <w:left w:w="80" w:type="dxa"/>
              <w:right w:w="80" w:type="dxa"/>
            </w:tcMar>
          </w:tcPr>
          <w:p>
            <w:pPr>
              <w:spacing w:after="0"/>
            </w:pPr>
            <w:r>
              <w:rPr>
                <w:b/>
                <w:sz w:val="16"/>
              </w:rPr>
              <w:t>SkinThickness</w:t>
            </w:r>
          </w:p>
        </w:tc>
        <w:tc>
          <w:tcPr>
            <w:tcW w:type="dxa" w:w="2016"/>
            <w:shd w:fill="F8FAFC"/>
            <w:tcMar>
              <w:top w:w="60" w:type="dxa"/>
              <w:bottom w:w="60" w:type="dxa"/>
              <w:left w:w="80" w:type="dxa"/>
              <w:right w:w="80" w:type="dxa"/>
            </w:tcMar>
          </w:tcPr>
          <w:p>
            <w:pPr>
              <w:spacing w:after="0"/>
            </w:pPr>
            <w:r>
              <w:rPr>
                <w:sz w:val="16"/>
              </w:rPr>
              <w:t>Modifiable Proxy</w:t>
            </w:r>
          </w:p>
        </w:tc>
        <w:tc>
          <w:tcPr>
            <w:tcW w:type="dxa" w:w="5184"/>
            <w:shd w:fill="F8FAFC"/>
            <w:tcMar>
              <w:top w:w="60" w:type="dxa"/>
              <w:bottom w:w="60" w:type="dxa"/>
              <w:left w:w="80" w:type="dxa"/>
              <w:right w:w="80" w:type="dxa"/>
            </w:tcMar>
          </w:tcPr>
          <w:p>
            <w:pPr>
              <w:spacing w:after="0"/>
            </w:pPr>
            <w:r>
              <w:rPr>
                <w:sz w:val="16"/>
              </w:rPr>
              <w:t>Non-diagnostic anthropometric proxy; recommends well-rounded nutrition and general physical activity.</w:t>
            </w:r>
          </w:p>
        </w:tc>
      </w:tr>
    </w:tbl>
    <w:p>
      <w:pPr>
        <w:spacing w:after="200"/>
      </w:pPr>
    </w:p>
    <w:p>
      <w:pPr>
        <w:pStyle w:val="Heading1"/>
        <w:keepNext/>
        <w:spacing w:before="320" w:after="120"/>
      </w:pPr>
      <w:r>
        <w:rPr>
          <w:rFonts w:ascii="Calibri" w:hAnsi="Calibri"/>
          <w:b/>
          <w:color w:val="0F766E"/>
          <w:sz w:val="32"/>
        </w:rPr>
        <w:t>8. Demographic Metadata Isolation &amp; Gender-Conditional UI</w:t>
      </w:r>
    </w:p>
    <w:p>
      <w:r>
        <w:t>Because the PIMA Indians Diabetes Dataset contains solely female subjects, introducing demographic fields (Patient Name, Age, Sex) presents a major architectural challenge: passing demographic fields into the model would alter the mathematical feature matrix, break serialized model weights, and produce invalid SHAP dimensions.</w:t>
      </w:r>
    </w:p>
    <w:p>
      <w:r>
        <w:t>To resolve this, the system strictly isolates demographics:</w:t>
        <w:br/>
        <w:t>1. Schema Decoupling: FEATURE_ORDER remains strictly locked to the 8 numerical features. Neither Name nor Sex is ever passed to the XGBoost model, scaler, or imputer.</w:t>
        <w:br/>
        <w:t>2. No Fabricated Attributions: No SHAP value is ever calculated for Name or Sex.</w:t>
        <w:br/>
        <w:t>3. Gender-Conditional UI Form: In Tab 1 of app.py, selecting Male automatically locks Pregnancies to 0 and disables the input widget with a helpful caption. Selecting Female or Not specified unlocks the field for input.</w:t>
      </w:r>
    </w:p>
    <w:p>
      <w:pPr>
        <w:pStyle w:val="Heading1"/>
        <w:keepNext/>
        <w:spacing w:before="320" w:after="120"/>
      </w:pPr>
      <w:r>
        <w:rPr>
          <w:rFonts w:ascii="Calibri" w:hAnsi="Calibri"/>
          <w:b/>
          <w:color w:val="0F766E"/>
          <w:sz w:val="32"/>
        </w:rPr>
        <w:t>9. Multi-Channel Reporting &amp; Service Layer</w:t>
      </w:r>
    </w:p>
    <w:p>
      <w:r>
        <w:t>A single shared recommendation function (generate_personalized_recommendations) feeds into all four delivery channels:</w:t>
      </w:r>
    </w:p>
    <w:p>
      <w:pPr>
        <w:pStyle w:val="ListBullet"/>
      </w:pPr>
      <w:r>
        <w:rPr>
          <w:b/>
        </w:rPr>
        <w:t xml:space="preserve">7-Tab Streamlit Web Application (app.py): </w:t>
      </w:r>
      <w:r>
        <w:t>Provides interactive inputs, real-time probability meter, top-3 SHAP cards, sensitivity sweeps, perturbation tests, and interactive personalized guidance expanders.</w:t>
      </w:r>
    </w:p>
    <w:p>
      <w:pPr>
        <w:pStyle w:val="ListBullet"/>
      </w:pPr>
      <w:r>
        <w:rPr>
          <w:b/>
        </w:rPr>
        <w:t xml:space="preserve">ReportLab Clinical PDF Generator (services/pdf_report.py): </w:t>
      </w:r>
      <w:r>
        <w:t>Compiles an academic-grade 9-section PDF report featuring Patient Information, Clinical Measurements, Risk Assessment, Local SHAP table with explicit directional impact wording, Personalized Summary, Personalized Educational Guidance, and disclaimers.</w:t>
      </w:r>
    </w:p>
    <w:p>
      <w:pPr>
        <w:pStyle w:val="ListBullet"/>
      </w:pPr>
      <w:r>
        <w:rPr>
          <w:b/>
        </w:rPr>
        <w:t xml:space="preserve">Secure SMTP Email Dispatcher (services/email_service.py): </w:t>
      </w:r>
      <w:r>
        <w:t>Enforces RFC 5322 syntax, authenticates via TLS/STARTTLS, and transmits plain-text summaries with the complete PDF attached. Never fakes delivery.</w:t>
      </w:r>
    </w:p>
    <w:p>
      <w:pPr>
        <w:pStyle w:val="ListBullet"/>
      </w:pPr>
      <w:r>
        <w:rPr>
          <w:b/>
        </w:rPr>
        <w:t xml:space="preserve">Grounded LLM Synthesis (services/ai_report.py): </w:t>
      </w:r>
      <w:r>
        <w:t>Connects to Google Gemini (gemini-flash-lite-latest) with strict grounding prompts. If unconfigured or offline, seamlessly falls back to the deterministic clinical template without crashing.</w:t>
      </w:r>
    </w:p>
    <w:p>
      <w:pPr>
        <w:pStyle w:val="Heading1"/>
        <w:keepNext/>
        <w:spacing w:before="320" w:after="120"/>
      </w:pPr>
      <w:r>
        <w:rPr>
          <w:rFonts w:ascii="Calibri" w:hAnsi="Calibri"/>
          <w:b/>
          <w:color w:val="0F766E"/>
          <w:sz w:val="32"/>
        </w:rPr>
        <w:t>10. Empirical Robustness &amp; Automated Test Suite</w:t>
      </w:r>
    </w:p>
    <w:p>
      <w:r>
        <w:t>To ensure deployment stability, the system was subjected to rigorous perturbation testing and comprehensive unit testing:</w:t>
      </w:r>
    </w:p>
    <w:p>
      <w:r>
        <w:t>• Local Noise Perturbation Testing: Under 50 iterations of +/- 2% Gaussian noise applied across all features, the model demonstrated a 0.00% prediction flip rate, a probability standard deviation of sigma = 0.0084, and a normalized Robustness Index of 1.000 / 1.000.</w:t>
        <w:br/>
        <w:t>• Automated Test Suite: All 45 automated unit and integration tests pass with 100% success across 7 test modules:</w:t>
      </w:r>
    </w:p>
    <w:p>
      <w:pPr>
        <w:pStyle w:val="ListBullet"/>
      </w:pPr>
      <w:r>
        <w:rPr>
          <w:b/>
        </w:rPr>
        <w:t xml:space="preserve">tests/test_personalized_guidance.py (15 Tests): </w:t>
      </w:r>
      <w:r>
        <w:t>Validates personalized guidance, PDF text streams, demographic isolation, and non-diagnostic guardrails.</w:t>
      </w:r>
    </w:p>
    <w:p>
      <w:pPr>
        <w:pStyle w:val="ListBullet"/>
      </w:pPr>
      <w:r>
        <w:rPr>
          <w:b/>
        </w:rPr>
        <w:t xml:space="preserve">tests/test_email.py (6 Tests): </w:t>
      </w:r>
      <w:r>
        <w:t>Validates RFC 5322 syntax, email formatting, and SMTP connections.</w:t>
      </w:r>
    </w:p>
    <w:p>
      <w:pPr>
        <w:pStyle w:val="ListBullet"/>
      </w:pPr>
      <w:r>
        <w:rPr>
          <w:b/>
        </w:rPr>
        <w:t xml:space="preserve">tests/test_reports.py (4 Tests): </w:t>
      </w:r>
      <w:r>
        <w:t>Validates LLM fallback and PDF document compilation.</w:t>
      </w:r>
    </w:p>
    <w:p>
      <w:pPr>
        <w:pStyle w:val="ListBullet"/>
      </w:pPr>
      <w:r>
        <w:rPr>
          <w:b/>
        </w:rPr>
        <w:t xml:space="preserve">tests/test_explainability.py (6 Tests): </w:t>
      </w:r>
      <w:r>
        <w:t>Validates SHAP, LIME, and agreement calculations.</w:t>
      </w:r>
    </w:p>
    <w:p>
      <w:pPr>
        <w:pStyle w:val="ListBullet"/>
      </w:pPr>
      <w:r>
        <w:rPr>
          <w:b/>
        </w:rPr>
        <w:t xml:space="preserve">tests/test_preprocessing.py (5 Tests): </w:t>
      </w:r>
      <w:r>
        <w:t>Validates zero-handling, median imputation, and standard scaling.</w:t>
      </w:r>
    </w:p>
    <w:p>
      <w:pPr>
        <w:pStyle w:val="ListBullet"/>
      </w:pPr>
      <w:r>
        <w:rPr>
          <w:b/>
        </w:rPr>
        <w:t xml:space="preserve">tests/test_models.py (5 Tests): </w:t>
      </w:r>
      <w:r>
        <w:t>Validates baseline holdout metrics and artifact loading.</w:t>
      </w:r>
    </w:p>
    <w:p>
      <w:pPr>
        <w:pStyle w:val="ListBullet"/>
      </w:pPr>
      <w:r>
        <w:rPr>
          <w:b/>
        </w:rPr>
        <w:t xml:space="preserve">tests/test_validation.py (4 Tests): </w:t>
      </w:r>
      <w:r>
        <w:t>Validates boundary enforcement and physiological range rules.</w:t>
      </w:r>
    </w:p>
    <w:p>
      <w:pPr>
        <w:pStyle w:val="Heading1"/>
        <w:keepNext/>
        <w:spacing w:before="320" w:after="120"/>
      </w:pPr>
      <w:r>
        <w:rPr>
          <w:rFonts w:ascii="Calibri" w:hAnsi="Calibri"/>
          <w:b/>
          <w:color w:val="0F766E"/>
          <w:sz w:val="32"/>
        </w:rPr>
        <w:t>11. Ethical Considerations &amp; Project Limitations</w:t>
      </w:r>
    </w:p>
    <w:p>
      <w:r>
        <w:t>1. Population Scope: Training data reflects female Pima Indian patients &gt;= 21 years. Caution is advised when generalizing predictions to diverse demographics.</w:t>
        <w:br/>
        <w:t>2. Imputation Variance: Zeros in metabolic features are imputed with cohort medians, which may attenuate extreme physiological variance.</w:t>
        <w:br/>
        <w:t>3. Non-Causality of SHAP: SHAP attributions reflect mathematical reliance in the tree ensemble, not direct biological causation.</w:t>
        <w:br/>
        <w:t>4. Non-Diagnostic Boundary: The system is an academic research prototype and not an FDA-cleared diagnostic device.</w:t>
      </w:r>
    </w:p>
    <w:p>
      <w:pPr>
        <w:pStyle w:val="Heading1"/>
        <w:keepNext/>
        <w:spacing w:before="320" w:after="120"/>
      </w:pPr>
      <w:r>
        <w:rPr>
          <w:rFonts w:ascii="Calibri" w:hAnsi="Calibri"/>
          <w:b/>
          <w:color w:val="0F766E"/>
          <w:sz w:val="32"/>
        </w:rPr>
        <w:t>12. Conclusion &amp; Future Roadmap</w:t>
      </w:r>
    </w:p>
    <w:p>
      <w:r>
        <w:t>This project successfully transforms a baseline XGBoost classifier into an academic-grade, publication-ready Explainable AI decision-support system. By uniting calibrated machine learning, dual local explainability (SHAP + LIME), quantitative agreement metrics, personalized educational guidance, and automated multi-channel reporting, the system establishes a comprehensive model for transparent clinical machine learning.</w:t>
      </w:r>
    </w:p>
    <w:p>
      <w:r>
        <w:t>Future enhancements include expanding to multi-cohort datasets (e.g., NHANES, UK Biobank), incorporating longitudinal sequential monitoring, and exporting outputs as HL7 FHIR clinical observation resources for electronic health record (EHR) integration.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i/>
      <w:color w:val="334155"/>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