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F4788"/>
          <w:sz w:val="48"/>
          <w:szCs w:val="48"/>
        </w:rPr>
        <w:t xml:space="preserve">WHITE-LABEL OPTIONS EXCHANGE</w:t>
      </w:r>
    </w:p>
    <w:p>
      <w:pPr>
        <w:spacing w:before="240" w:after="1440"/>
        <w:jc w:val="center"/>
      </w:pPr>
      <w:r>
        <w:rPr>
          <w:color w:val="666666"/>
          <w:sz w:val="32"/>
          <w:szCs w:val="32"/>
        </w:rPr>
        <w:t xml:space="preserve">Master Configuration Guide</w:t>
      </w:r>
    </w:p>
    <w:p>
      <w:pPr>
        <w:spacing w:after="960"/>
        <w:jc w:val="center"/>
      </w:pPr>
      <w:r>
        <w:rPr>
          <w:i/>
          <w:iCs/>
          <w:sz w:val="24"/>
          <w:szCs w:val="24"/>
        </w:rPr>
        <w:t xml:space="preserve">Version 1.0</w:t>
      </w:r>
    </w:p>
    <w:p>
      <w:pPr>
        <w:jc w:val="center"/>
      </w:pPr>
      <w:r>
        <w:rPr>
          <w:sz w:val="24"/>
          <w:szCs w:val="24"/>
        </w:rPr>
        <w:t xml:space="preserve">Complete Infrastructure Configuration System</w:t>
      </w:r>
    </w:p>
    <w:p>
      <w:pPr>
        <w:spacing w:before="1440"/>
        <w:jc w:val="center"/>
      </w:pPr>
      <w:r>
        <w:rPr>
          <w:i/>
          <w:iCs/>
          <w:color w:val="666666"/>
          <w:sz w:val="20"/>
          <w:szCs w:val="20"/>
        </w:rPr>
        <w:t xml:space="preserve">Deploy a production-grade crypto options exchange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with any storage backend, blockchain, or market data provider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Summary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t xml:space="preserve">1. Introduction</w:t>
      </w:r>
    </w:p>
    <w:p>
      <w:pPr>
        <w:pStyle w:val="Heading2"/>
      </w:pPr>
      <w:r>
        <w:t xml:space="preserve">1.1 Overview</w:t>
      </w:r>
    </w:p>
    <w:p>
      <w:pPr>
        <w:spacing w:after="240"/>
      </w:pPr>
      <w:r>
        <w:t xml:space="preserve">This document provides comprehensive configuration guidance for deploying a white-label cryptocurrency options exchange. The system is designed to be completely infrastructure-agnostic, allowing deployment with various storage backends, blockchain networks, and market data providers through a single configuration file.</w:t>
      </w:r>
    </w:p>
    <w:p>
      <w:pPr>
        <w:pStyle w:val="Heading2"/>
      </w:pPr>
      <w:r>
        <w:t xml:space="preserve">1.2 Design Philosophy</w:t>
      </w:r>
    </w:p>
    <w:p>
      <w:pPr>
        <w:spacing w:after="120"/>
      </w:pPr>
      <w:r>
        <w:t xml:space="preserve">The configuration system follows these core principles: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Abstraction: </w:t>
      </w:r>
      <w:r>
        <w:t xml:space="preserve">Core business logic is completely separated from infrastructure concerns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Configuration-Driven: </w:t>
      </w:r>
      <w:r>
        <w:t xml:space="preserve">All deployment decisions are made through YAML configuration, not code changes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Multi-Backend Support: </w:t>
      </w:r>
      <w:r>
        <w:t xml:space="preserve">Supports PostgreSQL, Supabase, MySQL, Redis, in-memory, and more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Environment Isolation: </w:t>
      </w:r>
      <w:r>
        <w:t xml:space="preserve">Production and virtual trading modes run with separate configurations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White-Label Ready: </w:t>
      </w:r>
      <w:r>
        <w:t xml:space="preserve">Customers can deploy the same codebase with their own branding and infrastructure</w:t>
      </w:r>
    </w:p>
    <w:p>
      <w:pPr>
        <w:pStyle w:val="Heading2"/>
      </w:pPr>
      <w:r>
        <w:t xml:space="preserve">1.3 System Architecture</w:t>
      </w:r>
    </w:p>
    <w:p>
      <w:pPr>
        <w:spacing w:after="120"/>
      </w:pPr>
      <w:r>
        <w:t xml:space="preserve">The exchange is composed of 7 core modules: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Instrument Layer: </w:t>
      </w:r>
      <w:r>
        <w:t xml:space="preserve">Defines tradeable instruments (options)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Order Management System (OMS): </w:t>
      </w:r>
      <w:r>
        <w:t xml:space="preserve">Handles user orders and order books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Matching Engine: </w:t>
      </w:r>
      <w:r>
        <w:t xml:space="preserve">Executes price-time priority matching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 Engine: </w:t>
      </w:r>
      <w:r>
        <w:t xml:space="preserve">Calculates margin, manages liquidations, enforces limits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Clearing &amp; Settlement: </w:t>
      </w:r>
      <w:r>
        <w:t xml:space="preserve">Settles trades and manages expiry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Wallet &amp; Collateral: </w:t>
      </w:r>
      <w:r>
        <w:t xml:space="preserve">Manages user balances and deposits/withdrawals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Data: </w:t>
      </w:r>
      <w:r>
        <w:t xml:space="preserve">Publishes order book, trades, and price feeds</w:t>
      </w:r>
    </w:p>
    <w:p>
      <w:r>
        <w:br w:type="page"/>
      </w:r>
    </w:p>
    <w:p>
      <w:pPr>
        <w:pStyle w:val="Heading1"/>
      </w:pPr>
      <w:r>
        <w:t xml:space="preserve">2. Configuration File Structure</w:t>
      </w:r>
    </w:p>
    <w:p>
      <w:pPr>
        <w:pStyle w:val="Heading2"/>
      </w:pPr>
      <w:r>
        <w:t xml:space="preserve">2.1 Master Config Location</w:t>
      </w:r>
    </w:p>
    <w:p>
      <w:pPr>
        <w:spacing w:after="120"/>
      </w:pPr>
      <w:r>
        <w:t xml:space="preserve">The master configuration file should be named </w:t>
      </w:r>
      <w:r>
        <w:rPr>
          <w:rFonts w:ascii="Courier New" w:cs="Courier New" w:eastAsia="Courier New" w:hAnsi="Courier New"/>
          <w:b/>
          <w:bCs/>
        </w:rPr>
        <w:t xml:space="preserve">config.yaml</w:t>
      </w:r>
      <w:r>
        <w:t xml:space="preserve"> and placed in the root directory of your deployment.</w:t>
      </w:r>
    </w:p>
    <w:p>
      <w:pPr>
        <w:pStyle w:val="Heading2"/>
      </w:pPr>
      <w:r>
        <w:t xml:space="preserve">2.2 Environment Variables</w:t>
      </w:r>
    </w:p>
    <w:p>
      <w:pPr>
        <w:spacing w:after="120"/>
      </w:pPr>
      <w:r>
        <w:t xml:space="preserve">Sensitive values (passwords, API keys, secrets) are referenced using </w:t>
      </w:r>
      <w:r>
        <w:rPr>
          <w:rFonts w:ascii="Courier New" w:cs="Courier New" w:eastAsia="Courier New" w:hAnsi="Courier New"/>
          <w:b/>
          <w:bCs/>
        </w:rPr>
        <w:t xml:space="preserve">${VARIABLE_NAME}</w:t>
      </w:r>
      <w:r>
        <w:t xml:space="preserve"> syntax and stored in a separate </w:t>
      </w:r>
      <w:r>
        <w:rPr>
          <w:rFonts w:ascii="Courier New" w:cs="Courier New" w:eastAsia="Courier New" w:hAnsi="Courier New"/>
          <w:b/>
          <w:bCs/>
        </w:rPr>
        <w:t xml:space="preserve">.env</w:t>
      </w:r>
      <w:r>
        <w:t xml:space="preserve"> file that should NEVER be committed to version control.</w:t>
      </w:r>
    </w:p>
    <w:p>
      <w:pPr>
        <w:pStyle w:val="Heading3"/>
      </w:pPr>
      <w:r>
        <w:t xml:space="preserve">Example Environment Variable Usage</w:t>
      </w:r>
    </w:p>
    <w:p>
      <w:pPr>
        <w:pStyle w:val="Code"/>
      </w:pPr>
      <w:r>
        <w:t xml:space="preserve"># In config.yaml</w:t>
      </w:r>
    </w:p>
    <w:p>
      <w:pPr>
        <w:pStyle w:val="Code"/>
      </w:pPr>
      <w:r>
        <w:t xml:space="preserve">postgres:</w:t>
      </w:r>
    </w:p>
    <w:p>
      <w:pPr>
        <w:pStyle w:val="Code"/>
      </w:pPr>
      <w:r>
        <w:t xml:space="preserve">  host: ${INSTRUMENT_DB_HOST}</w:t>
      </w:r>
    </w:p>
    <w:p>
      <w:pPr>
        <w:pStyle w:val="Code"/>
      </w:pPr>
      <w:r>
        <w:t xml:space="preserve">  password: ${INSTRUMENT_DB_PASSWORD}</w:t>
      </w:r>
    </w:p>
    <w:p>
      <w:pPr>
        <w:pStyle w:val="Code"/>
        <w:spacing w:before="240"/>
      </w:pPr>
      <w:r>
        <w:t xml:space="preserve"># In .env file</w:t>
      </w:r>
    </w:p>
    <w:p>
      <w:pPr>
        <w:pStyle w:val="Code"/>
      </w:pPr>
      <w:r>
        <w:t xml:space="preserve">INSTRUMENT_DB_HOST=localhost</w:t>
      </w:r>
    </w:p>
    <w:p>
      <w:pPr>
        <w:pStyle w:val="Code"/>
      </w:pPr>
      <w:r>
        <w:t xml:space="preserve">INSTRUMENT_DB_PASSWORD=your-secure-password</w:t>
      </w:r>
    </w:p>
    <w:p>
      <w:r>
        <w:br w:type="page"/>
      </w:r>
    </w:p>
    <w:p>
      <w:pPr>
        <w:pStyle w:val="Heading1"/>
      </w:pPr>
      <w:r>
        <w:t xml:space="preserve">3. Module 1: Market Instrument Layer</w:t>
      </w:r>
    </w:p>
    <w:p>
      <w:pPr>
        <w:pStyle w:val="Heading2"/>
      </w:pPr>
      <w:r>
        <w:t xml:space="preserve">3.1 Purpose</w:t>
      </w:r>
    </w:p>
    <w:p>
      <w:pPr>
        <w:spacing w:after="240"/>
      </w:pPr>
      <w:r>
        <w:t xml:space="preserve">The Market Instrument Layer defines what can be traded on the exchange. It manages underlying assets (BTC, ETH, etc.), option instruments, settlement currencies, and market data sources.</w:t>
      </w:r>
    </w:p>
    <w:p>
      <w:pPr>
        <w:pStyle w:val="Heading2"/>
      </w:pPr>
      <w:r>
        <w:t xml:space="preserve">3.2 Supported Assets Configuration</w:t>
      </w:r>
    </w:p>
    <w:p>
      <w:pPr>
        <w:spacing w:after="120"/>
      </w:pPr>
      <w:r>
        <w:t xml:space="preserve">Configure which cryptocurrencies can be used as underlying assets for options:</w:t>
      </w:r>
    </w:p>
    <w:p>
      <w:pPr>
        <w:pStyle w:val="Code"/>
      </w:pPr>
      <w:r>
        <w:t xml:space="preserve">instrument_layer:</w:t>
      </w:r>
    </w:p>
    <w:p>
      <w:pPr>
        <w:pStyle w:val="Code"/>
      </w:pPr>
      <w:r>
        <w:t xml:space="preserve">  supported_assets:</w:t>
      </w:r>
    </w:p>
    <w:p>
      <w:pPr>
        <w:pStyle w:val="Code"/>
      </w:pPr>
      <w:r>
        <w:t xml:space="preserve">    - symbol: "BTC"</w:t>
      </w:r>
    </w:p>
    <w:p>
      <w:pPr>
        <w:pStyle w:val="Code"/>
      </w:pPr>
      <w:r>
        <w:t xml:space="preserve">      name: "Bitcoin"</w:t>
      </w:r>
    </w:p>
    <w:p>
      <w:pPr>
        <w:pStyle w:val="Code"/>
      </w:pPr>
      <w:r>
        <w:t xml:space="preserve">      decimals: 8</w:t>
      </w:r>
    </w:p>
    <w:p>
      <w:pPr>
        <w:pStyle w:val="Code"/>
      </w:pPr>
      <w:r>
        <w:t xml:space="preserve">      contract_size: 0.01</w:t>
      </w:r>
    </w:p>
    <w:p>
      <w:pPr>
        <w:pStyle w:val="Code"/>
      </w:pPr>
      <w:r>
        <w:t xml:space="preserve">      min_order_size: 1</w:t>
      </w:r>
    </w:p>
    <w:p>
      <w:pPr>
        <w:pStyle w:val="Code"/>
      </w:pPr>
      <w:r>
        <w:t xml:space="preserve">      tick_size: 0.5</w:t>
      </w:r>
    </w:p>
    <w:p>
      <w:pPr>
        <w:pStyle w:val="Code"/>
      </w:pPr>
      <w:r>
        <w:t xml:space="preserve">      price_decimals: 2</w:t>
      </w:r>
    </w:p>
    <w:p>
      <w:pPr>
        <w:pStyle w:val="Code"/>
      </w:pPr>
      <w:r>
        <w:t xml:space="preserve">      enabled: true</w:t>
      </w:r>
    </w:p>
    <w:p>
      <w:pPr>
        <w:pStyle w:val="Heading3"/>
        <w:spacing w:before="360"/>
      </w:pPr>
      <w:r>
        <w:t xml:space="preserve">Asset Configuration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symbol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 ticker symbol (e.g., BTC, ETH, SOL)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decimals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Blockchain precision (8 for Bitcoin, 18 for Ethereum)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contract_size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much of the asset each option contract represents (e.g., 0.01 BTC)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tick_size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Minimum price increment (e.g., 0.5 USDT means prices move in 0.5 increments)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Quick Reference</w:t>
      </w:r>
    </w:p>
    <w:p>
      <w:pPr>
        <w:pStyle w:val="Heading2"/>
      </w:pPr>
      <w:r>
        <w:t xml:space="preserve">4.1 Configuration Checklist</w:t>
      </w:r>
    </w:p>
    <w:p>
      <w:pPr>
        <w:spacing w:after="120"/>
      </w:pPr>
      <w:r>
        <w:t xml:space="preserve">Before deploying, ensure you have configured:</w:t>
      </w:r>
    </w:p>
    <w:p>
      <w:pPr>
        <w:pStyle w:val="ListParagraph"/>
        <w:numPr>
          <w:ilvl w:val="0"/>
          <w:numId w:val="2"/>
        </w:numPr>
      </w:pPr>
      <w:r>
        <w:t xml:space="preserve">At least one enabled asset with market data source</w:t>
      </w:r>
    </w:p>
    <w:p>
      <w:pPr>
        <w:pStyle w:val="ListParagraph"/>
        <w:numPr>
          <w:ilvl w:val="0"/>
          <w:numId w:val="2"/>
        </w:numPr>
      </w:pPr>
      <w:r>
        <w:t xml:space="preserve">Primary settlement currency (usually USDT)</w:t>
      </w:r>
    </w:p>
    <w:p>
      <w:pPr>
        <w:pStyle w:val="ListParagraph"/>
        <w:numPr>
          <w:ilvl w:val="0"/>
          <w:numId w:val="2"/>
        </w:numPr>
      </w:pPr>
      <w:r>
        <w:t xml:space="preserve">Storage backends for all modules (Postgres recommended for production)</w:t>
      </w:r>
    </w:p>
    <w:p>
      <w:pPr>
        <w:pStyle w:val="ListParagraph"/>
        <w:numPr>
          <w:ilvl w:val="0"/>
          <w:numId w:val="2"/>
        </w:numPr>
      </w:pPr>
      <w:r>
        <w:t xml:space="preserve">Service endpoints and authentication tokens</w:t>
      </w:r>
    </w:p>
    <w:p>
      <w:pPr>
        <w:pStyle w:val="ListParagraph"/>
        <w:numPr>
          <w:ilvl w:val="0"/>
          <w:numId w:val="2"/>
        </w:numPr>
      </w:pPr>
      <w:r>
        <w:t xml:space="preserve">Risk parameters (initial margin, maintenance margin, liquidation threshold)</w:t>
      </w:r>
    </w:p>
    <w:p>
      <w:pPr>
        <w:pStyle w:val="ListParagraph"/>
        <w:numPr>
          <w:ilvl w:val="0"/>
          <w:numId w:val="2"/>
        </w:numPr>
      </w:pPr>
      <w:r>
        <w:t xml:space="preserve">TLS certificates for production deployment</w:t>
      </w:r>
    </w:p>
    <w:p>
      <w:pPr>
        <w:pStyle w:val="ListParagraph"/>
        <w:numPr>
          <w:ilvl w:val="0"/>
          <w:numId w:val="2"/>
        </w:numPr>
      </w:pPr>
      <w:r>
        <w:t xml:space="preserve">Monitoring and alerting integration</w:t>
      </w:r>
    </w:p>
    <w:p>
      <w:pPr>
        <w:pStyle w:val="Heading2"/>
        <w:spacing w:before="480"/>
      </w:pPr>
      <w:r>
        <w:t xml:space="preserve">4.2 Deployment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Dev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In-memory / SQLite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localhost, no TLS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 Exchange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+ Redis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/ EC2, TLS enabled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RDS + ElastiCache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Kubernetes, multi-region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Configuration File Locations</w:t>
      </w:r>
    </w:p>
    <w:p>
      <w:pPr>
        <w:pStyle w:val="Heading2"/>
      </w:pPr>
      <w:r>
        <w:t xml:space="preserve">5.1 Master Configuration</w:t>
      </w:r>
    </w:p>
    <w:p>
      <w:pPr>
        <w:pStyle w:val="Code"/>
      </w:pPr>
      <w:r>
        <w:t xml:space="preserve">config.yaml - Master configuration file (see included file)</w:t>
      </w:r>
    </w:p>
    <w:p>
      <w:pPr>
        <w:pStyle w:val="Heading2"/>
        <w:spacing w:before="240"/>
      </w:pPr>
      <w:r>
        <w:t xml:space="preserve">5.2 Environment Variables Template</w:t>
      </w:r>
    </w:p>
    <w:p>
      <w:pPr>
        <w:pStyle w:val="Code"/>
      </w:pPr>
      <w:r>
        <w:t xml:space="preserve">.env.template - Copy this to .env and fill in your values</w:t>
      </w:r>
    </w:p>
    <w:p>
      <w:pPr>
        <w:pStyle w:val="Heading2"/>
        <w:spacing w:before="240"/>
      </w:pPr>
      <w:r>
        <w:t xml:space="preserve">5.3 Example Configurations</w:t>
      </w:r>
    </w:p>
    <w:p>
      <w:pPr>
        <w:pStyle w:val="Code"/>
      </w:pPr>
      <w:r>
        <w:t xml:space="preserve">example_configs/minimal_dev.yaml - Quickstart for local development</w:t>
      </w:r>
    </w:p>
    <w:p>
      <w:pPr>
        <w:pStyle w:val="Code"/>
      </w:pPr>
      <w:r>
        <w:t xml:space="preserve">example_configs/production_aws.yaml - Production AWS deployment</w:t>
      </w:r>
    </w:p>
    <w:p>
      <w:pPr>
        <w:pStyle w:val="Code"/>
      </w:pPr>
      <w:r>
        <w:t xml:space="preserve">example_configs/supabase.yaml - Supabase backend configuration</w:t>
      </w:r>
    </w:p>
    <w:p>
      <w:pPr>
        <w:pStyle w:val="Heading2"/>
        <w:spacing w:before="240"/>
      </w:pPr>
      <w:r>
        <w:t xml:space="preserve">5.4 Validation</w:t>
      </w:r>
    </w:p>
    <w:p>
      <w:pPr>
        <w:spacing w:after="120"/>
      </w:pPr>
      <w:r>
        <w:t xml:space="preserve">Before starting the exchange, validate your configuration:</w:t>
      </w:r>
    </w:p>
    <w:p>
      <w:pPr>
        <w:pStyle w:val="Code"/>
      </w:pPr>
      <w:r>
        <w:t xml:space="preserve">./exchange validate-config config.yaml</w:t>
      </w:r>
    </w:p>
    <w:p>
      <w:pPr>
        <w:spacing w:before="240"/>
      </w:pPr>
      <w:r>
        <w:t xml:space="preserve">This will check for errors, validate cross-module dependencies, and warn about potential issues.</w:t>
      </w:r>
    </w:p>
    <w:p>
      <w:r>
        <w:br w:type="page"/>
      </w:r>
    </w:p>
    <w:p>
      <w:pPr>
        <w:pStyle w:val="Heading1"/>
      </w:pPr>
      <w:r>
        <w:t xml:space="preserve">6. Next Steps</w:t>
      </w:r>
    </w:p>
    <w:p>
      <w:pPr>
        <w:pStyle w:val="Heading2"/>
      </w:pPr>
      <w:r>
        <w:t xml:space="preserve">6.1 Implementation Roadmap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1: </w:t>
      </w:r>
      <w:r>
        <w:t xml:space="preserve">Core modules (Instrument Layer, OMS, Matching Engine)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2: </w:t>
      </w:r>
      <w:r>
        <w:t xml:space="preserve">Risk &amp; Settlement modules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3: </w:t>
      </w:r>
      <w:r>
        <w:t xml:space="preserve">Wallet &amp; Market Data modules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4: </w:t>
      </w:r>
      <w:r>
        <w:t xml:space="preserve">Integration testing &amp; production hardening</w:t>
      </w:r>
    </w:p>
    <w:p>
      <w:pPr>
        <w:pStyle w:val="Heading2"/>
        <w:spacing w:before="480"/>
      </w:pPr>
      <w:r>
        <w:t xml:space="preserve">6.2 Documentation Links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config_validation_rules.md</w:t>
      </w:r>
      <w:r>
        <w:t xml:space="preserve"> - Complete validation rules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master_exchange_config.yaml</w:t>
      </w:r>
      <w:r>
        <w:t xml:space="preserve"> - Full configuration file with all options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.env.template</w:t>
      </w:r>
      <w:r>
        <w:t xml:space="preserve"> - Environment variables template</w:t>
      </w:r>
    </w:p>
    <w:p>
      <w:pPr>
        <w:pStyle w:val="Heading2"/>
        <w:spacing w:before="480"/>
      </w:pPr>
      <w:r>
        <w:t xml:space="preserve">6.3 Support</w:t>
      </w:r>
    </w:p>
    <w:p>
      <w:pPr>
        <w:spacing w:after="120"/>
      </w:pPr>
      <w:r>
        <w:t xml:space="preserve">For questions, issues, or feature requests, please refer to the project documentation or contact your technical lead.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D6FA3"/>
      <w:sz w:val="26"/>
      <w:szCs w:val="26"/>
    </w:rPr>
  </w:style>
  <w:style w:type="paragraph" w:styleId="Code">
    <w:name w:val="Code"/>
    <w:basedOn w:val="Normal"/>
    <w:next w:val="Normal"/>
    <w:pPr>
      <w:shd w:fill="F5F5F5" w:val="clear"/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2026-02-10T19:50:49.274Z</dcterms:created>
  <dcterms:modified xsi:type="dcterms:W3CDTF">2026-02-10T19:50:49.275Z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