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75EF5A" wp14:paraId="6ADAF344" wp14:textId="6C4FAACE">
      <w:pPr>
        <w:pStyle w:val="Heading3"/>
        <w:spacing w:before="281" w:beforeAutospacing="off" w:after="281" w:afterAutospacing="off"/>
      </w:pPr>
      <w:r w:rsidRPr="1775EF5A" w:rsidR="1775EF5A">
        <w:rPr>
          <w:rFonts w:ascii="Calibri" w:hAnsi="Calibri" w:eastAsia="Calibri" w:cs="Calibri"/>
          <w:b w:val="1"/>
          <w:bCs w:val="1"/>
          <w:noProof w:val="0"/>
          <w:color w:val="000000" w:themeColor="text1" w:themeTint="FF" w:themeShade="FF"/>
          <w:sz w:val="28"/>
          <w:szCs w:val="28"/>
          <w:lang w:val="en-US"/>
        </w:rPr>
        <w:t>日経225ミニ先物とは？</w:t>
      </w:r>
    </w:p>
    <w:p xmlns:wp14="http://schemas.microsoft.com/office/word/2010/wordml" w:rsidP="1775EF5A" wp14:paraId="0056F32A" wp14:textId="24852869">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b w:val="1"/>
          <w:bCs w:val="1"/>
          <w:noProof w:val="0"/>
          <w:color w:val="000000" w:themeColor="text1" w:themeTint="FF" w:themeShade="FF"/>
          <w:sz w:val="22"/>
          <w:szCs w:val="22"/>
          <w:lang w:val="en-US"/>
        </w:rPr>
        <w:t>取引単位</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517786A8" wp14:textId="5674F017">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日経平均株価を元にした先物取引で、1枚の取引単位は「日経平均の1ポイント × 100円」。</w:t>
      </w:r>
    </w:p>
    <w:p xmlns:wp14="http://schemas.microsoft.com/office/word/2010/wordml" w:rsidP="1775EF5A" wp14:paraId="55F20FB3" wp14:textId="66BDF943">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通常の先物（ラージ）に比べて10分の1の取引単位で始められるため、少額からの投資が可能。</w:t>
      </w:r>
    </w:p>
    <w:p xmlns:wp14="http://schemas.microsoft.com/office/word/2010/wordml" w:rsidP="1775EF5A" wp14:paraId="387F683B" wp14:textId="19860C84">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b w:val="1"/>
          <w:bCs w:val="1"/>
          <w:noProof w:val="0"/>
          <w:color w:val="000000" w:themeColor="text1" w:themeTint="FF" w:themeShade="FF"/>
          <w:sz w:val="22"/>
          <w:szCs w:val="22"/>
          <w:lang w:val="en-US"/>
        </w:rPr>
        <w:t>メリット</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0C06D4BC" wp14:textId="54336E0D">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レバレッジを活用して少額資金で大きな取引が可能。</w:t>
      </w:r>
    </w:p>
    <w:p xmlns:wp14="http://schemas.microsoft.com/office/word/2010/wordml" w:rsidP="1775EF5A" wp14:paraId="36A463BD" wp14:textId="7A298FC3">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リスクヘッジや短期売買にも適している。</w:t>
      </w:r>
    </w:p>
    <w:p xmlns:wp14="http://schemas.microsoft.com/office/word/2010/wordml" w:rsidP="1775EF5A" wp14:paraId="0494C573" wp14:textId="2C76F9CE">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b w:val="1"/>
          <w:bCs w:val="1"/>
          <w:noProof w:val="0"/>
          <w:color w:val="000000" w:themeColor="text1" w:themeTint="FF" w:themeShade="FF"/>
          <w:sz w:val="22"/>
          <w:szCs w:val="22"/>
          <w:lang w:val="en-US"/>
        </w:rPr>
        <w:t>注意点</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659F14FF" wp14:textId="10BF88B2">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レバレッジ取引のため損失リスクが高くなる場合があります。</w:t>
      </w:r>
    </w:p>
    <w:p xmlns:wp14="http://schemas.microsoft.com/office/word/2010/wordml" wp14:paraId="6AB576F7" wp14:textId="23E8331A"/>
    <w:p xmlns:wp14="http://schemas.microsoft.com/office/word/2010/wordml" w:rsidP="1775EF5A" wp14:paraId="3C518798" wp14:textId="4AD451A8">
      <w:pPr>
        <w:pStyle w:val="Heading3"/>
        <w:spacing w:before="281" w:beforeAutospacing="off" w:after="281" w:afterAutospacing="off"/>
      </w:pPr>
      <w:r w:rsidRPr="1775EF5A" w:rsidR="1775EF5A">
        <w:rPr>
          <w:rFonts w:ascii="Calibri" w:hAnsi="Calibri" w:eastAsia="Calibri" w:cs="Calibri"/>
          <w:b w:val="1"/>
          <w:bCs w:val="1"/>
          <w:noProof w:val="0"/>
          <w:color w:val="000000" w:themeColor="text1" w:themeTint="FF" w:themeShade="FF"/>
          <w:sz w:val="28"/>
          <w:szCs w:val="28"/>
          <w:lang w:val="en-US"/>
        </w:rPr>
        <w:t>まとめ</w:t>
      </w:r>
    </w:p>
    <w:p xmlns:wp14="http://schemas.microsoft.com/office/word/2010/wordml" w:rsidP="1775EF5A" wp14:paraId="5F247A74" wp14:textId="1BBFFFED">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初心者で低コストから始めたいなら、</w:t>
      </w:r>
      <w:r w:rsidRPr="1775EF5A" w:rsidR="1775EF5A">
        <w:rPr>
          <w:rFonts w:ascii="Calibri" w:hAnsi="Calibri" w:eastAsia="Calibri" w:cs="Calibri"/>
          <w:b w:val="1"/>
          <w:bCs w:val="1"/>
          <w:noProof w:val="0"/>
          <w:color w:val="000000" w:themeColor="text1" w:themeTint="FF" w:themeShade="FF"/>
          <w:sz w:val="22"/>
          <w:szCs w:val="22"/>
          <w:lang w:val="en-US"/>
        </w:rPr>
        <w:t>SBI証券</w:t>
      </w:r>
      <w:r w:rsidRPr="1775EF5A" w:rsidR="1775EF5A">
        <w:rPr>
          <w:rFonts w:ascii="Calibri" w:hAnsi="Calibri" w:eastAsia="Calibri" w:cs="Calibri"/>
          <w:noProof w:val="0"/>
          <w:color w:val="000000" w:themeColor="text1" w:themeTint="FF" w:themeShade="FF"/>
          <w:sz w:val="22"/>
          <w:szCs w:val="22"/>
          <w:lang w:val="en-US"/>
        </w:rPr>
        <w:t>や</w:t>
      </w:r>
      <w:r w:rsidRPr="1775EF5A" w:rsidR="1775EF5A">
        <w:rPr>
          <w:rFonts w:ascii="Calibri" w:hAnsi="Calibri" w:eastAsia="Calibri" w:cs="Calibri"/>
          <w:b w:val="1"/>
          <w:bCs w:val="1"/>
          <w:noProof w:val="0"/>
          <w:color w:val="000000" w:themeColor="text1" w:themeTint="FF" w:themeShade="FF"/>
          <w:sz w:val="22"/>
          <w:szCs w:val="22"/>
          <w:lang w:val="en-US"/>
        </w:rPr>
        <w:t>楽天証券</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3D654355" wp14:textId="548189F6">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頻繁な取引を行う場合は、</w:t>
      </w:r>
      <w:r w:rsidRPr="1775EF5A" w:rsidR="1775EF5A">
        <w:rPr>
          <w:rFonts w:ascii="Calibri" w:hAnsi="Calibri" w:eastAsia="Calibri" w:cs="Calibri"/>
          <w:b w:val="1"/>
          <w:bCs w:val="1"/>
          <w:noProof w:val="0"/>
          <w:color w:val="000000" w:themeColor="text1" w:themeTint="FF" w:themeShade="FF"/>
          <w:sz w:val="22"/>
          <w:szCs w:val="22"/>
          <w:lang w:val="en-US"/>
        </w:rPr>
        <w:t>GMOクリック証券</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2CB19517" wp14:textId="19BCCD63">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noProof w:val="0"/>
          <w:color w:val="000000" w:themeColor="text1" w:themeTint="FF" w:themeShade="FF"/>
          <w:sz w:val="22"/>
          <w:szCs w:val="22"/>
          <w:lang w:val="en-US"/>
        </w:rPr>
        <w:t>高機能ツールを活用したいなら、</w:t>
      </w:r>
      <w:r w:rsidRPr="1775EF5A" w:rsidR="1775EF5A">
        <w:rPr>
          <w:rFonts w:ascii="Calibri" w:hAnsi="Calibri" w:eastAsia="Calibri" w:cs="Calibri"/>
          <w:b w:val="1"/>
          <w:bCs w:val="1"/>
          <w:noProof w:val="0"/>
          <w:color w:val="000000" w:themeColor="text1" w:themeTint="FF" w:themeShade="FF"/>
          <w:sz w:val="22"/>
          <w:szCs w:val="22"/>
          <w:lang w:val="en-US"/>
        </w:rPr>
        <w:t>auカブコム証券</w:t>
      </w:r>
      <w:r w:rsidRPr="1775EF5A" w:rsidR="1775EF5A">
        <w:rPr>
          <w:rFonts w:ascii="Calibri" w:hAnsi="Calibri" w:eastAsia="Calibri" w:cs="Calibri"/>
          <w:noProof w:val="0"/>
          <w:color w:val="000000" w:themeColor="text1" w:themeTint="FF" w:themeShade="FF"/>
          <w:sz w:val="22"/>
          <w:szCs w:val="22"/>
          <w:lang w:val="en-US"/>
        </w:rPr>
        <w:t>や</w:t>
      </w:r>
      <w:r w:rsidRPr="1775EF5A" w:rsidR="1775EF5A">
        <w:rPr>
          <w:rFonts w:ascii="Calibri" w:hAnsi="Calibri" w:eastAsia="Calibri" w:cs="Calibri"/>
          <w:b w:val="1"/>
          <w:bCs w:val="1"/>
          <w:noProof w:val="0"/>
          <w:color w:val="000000" w:themeColor="text1" w:themeTint="FF" w:themeShade="FF"/>
          <w:sz w:val="22"/>
          <w:szCs w:val="22"/>
          <w:lang w:val="en-US"/>
        </w:rPr>
        <w:t>松井証券</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78159078" wp14:textId="2FFD12C7">
      <w:pPr>
        <w:spacing w:before="240" w:beforeAutospacing="off" w:after="240" w:afterAutospacing="off"/>
      </w:pPr>
      <w:r w:rsidRPr="1775EF5A" w:rsidR="1775EF5A">
        <w:rPr>
          <w:rFonts w:ascii="Calibri" w:hAnsi="Calibri" w:eastAsia="Calibri" w:cs="Calibri"/>
          <w:noProof w:val="0"/>
          <w:color w:val="000000" w:themeColor="text1" w:themeTint="FF" w:themeShade="FF"/>
          <w:sz w:val="22"/>
          <w:szCs w:val="22"/>
          <w:lang w:val="en-US"/>
        </w:rPr>
        <w:t>自分の投資スタイルや目的に合った証券会社を選び、計画的な取引を行いましょう！</w:t>
      </w:r>
    </w:p>
    <w:p xmlns:wp14="http://schemas.microsoft.com/office/word/2010/wordml" wp14:paraId="54AD8917" wp14:textId="158602B6">
      <w:r w:rsidRPr="1775EF5A" w:rsidR="1775EF5A">
        <w:rPr>
          <w:rFonts w:ascii="Calibri" w:hAnsi="Calibri" w:eastAsia="Calibri" w:cs="Calibri"/>
          <w:noProof w:val="0"/>
          <w:color w:val="000000" w:themeColor="text1" w:themeTint="FF" w:themeShade="FF"/>
          <w:sz w:val="22"/>
          <w:szCs w:val="22"/>
          <w:lang w:val="en-US"/>
        </w:rPr>
        <w:t>公式ホームページのリンクはこちら</w:t>
      </w:r>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p14:paraId="5E1B4EE1" wp14:textId="4CAEE33E">
      <w:hyperlink r:id="R8bad828062344062">
        <w:r w:rsidRPr="1775EF5A" w:rsidR="1775EF5A">
          <w:rPr>
            <w:rStyle w:val="Hyperlink"/>
            <w:rFonts w:ascii="Calibri" w:hAnsi="Calibri" w:eastAsia="Calibri" w:cs="Calibri"/>
            <w:noProof w:val="0"/>
            <w:sz w:val="22"/>
            <w:szCs w:val="22"/>
            <w:lang w:val="en-US"/>
          </w:rPr>
          <w:t>SBI証券</w:t>
        </w:r>
      </w:hyperlink>
      <w:r w:rsidRPr="1775EF5A" w:rsidR="1775EF5A">
        <w:rPr>
          <w:rFonts w:ascii="Calibri" w:hAnsi="Calibri" w:eastAsia="Calibri" w:cs="Calibri"/>
          <w:noProof w:val="0"/>
          <w:color w:val="000000" w:themeColor="text1" w:themeTint="FF" w:themeShade="FF"/>
          <w:sz w:val="22"/>
          <w:szCs w:val="22"/>
          <w:lang w:val="en-US"/>
        </w:rPr>
        <w:t xml:space="preserve"> （</w:t>
      </w:r>
      <w:hyperlink r:id="Rd7a2407f53b946fa">
        <w:r w:rsidRPr="1775EF5A" w:rsidR="1775EF5A">
          <w:rPr>
            <w:rStyle w:val="Hyperlink"/>
            <w:rFonts w:ascii="Calibri" w:hAnsi="Calibri" w:eastAsia="Calibri" w:cs="Calibri"/>
            <w:noProof w:val="0"/>
            <w:sz w:val="22"/>
            <w:szCs w:val="22"/>
            <w:lang w:val="en-US"/>
          </w:rPr>
          <w:t>https://www.sbisec.co.jp/ETGate/）</w:t>
        </w:r>
      </w:hyperlink>
    </w:p>
    <w:p xmlns:wp14="http://schemas.microsoft.com/office/word/2010/wordml" w:rsidP="1775EF5A" wp14:paraId="3651C866" wp14:textId="0A1A7B7B">
      <w:pPr>
        <w:pStyle w:val="Normal"/>
        <w:rPr>
          <w:rFonts w:ascii="Calibri" w:hAnsi="Calibri" w:eastAsia="Calibri" w:cs="Calibri"/>
          <w:noProof w:val="0"/>
          <w:color w:val="000000" w:themeColor="text1" w:themeTint="FF" w:themeShade="FF"/>
          <w:sz w:val="22"/>
          <w:szCs w:val="22"/>
          <w:lang w:val="en-US"/>
        </w:rPr>
      </w:pPr>
      <w:hyperlink r:id="R3aafbc2290a94435">
        <w:r w:rsidRPr="1775EF5A" w:rsidR="1775EF5A">
          <w:rPr>
            <w:rStyle w:val="Hyperlink"/>
            <w:rFonts w:ascii="Calibri" w:hAnsi="Calibri" w:eastAsia="Calibri" w:cs="Calibri"/>
            <w:noProof w:val="0"/>
            <w:color w:val="000000" w:themeColor="text1" w:themeTint="FF" w:themeShade="FF"/>
            <w:sz w:val="22"/>
            <w:szCs w:val="22"/>
            <w:lang w:val="en-US"/>
          </w:rPr>
          <w:t>楽天証券</w:t>
        </w:r>
      </w:hyperlink>
      <w:r w:rsidR="1775EF5A">
        <w:rPr/>
        <w:t>（</w:t>
      </w:r>
      <w:hyperlink r:id="R17fa54bc67d24bd1">
        <w:r w:rsidRPr="1775EF5A" w:rsidR="1775EF5A">
          <w:rPr>
            <w:rStyle w:val="Hyperlink"/>
            <w:rFonts w:ascii="Calibri" w:hAnsi="Calibri" w:eastAsia="Calibri" w:cs="Calibri"/>
            <w:noProof w:val="0"/>
            <w:sz w:val="22"/>
            <w:szCs w:val="22"/>
            <w:lang w:val="en-US"/>
          </w:rPr>
          <w:t>https://www.rakuten-sec.co.jp/</w:t>
        </w:r>
      </w:hyperlink>
      <w:r w:rsidRPr="1775EF5A" w:rsidR="1775EF5A">
        <w:rPr>
          <w:rFonts w:ascii="Calibri" w:hAnsi="Calibri" w:eastAsia="Calibri" w:cs="Calibri"/>
          <w:noProof w:val="0"/>
          <w:sz w:val="22"/>
          <w:szCs w:val="22"/>
          <w:lang w:val="en-US"/>
        </w:rPr>
        <w:t>）</w:t>
      </w:r>
    </w:p>
    <w:p xmlns:wp14="http://schemas.microsoft.com/office/word/2010/wordml" w:rsidP="1775EF5A" wp14:paraId="042407AD" wp14:textId="55FCB73A">
      <w:pPr>
        <w:pStyle w:val="Normal"/>
        <w:rPr>
          <w:rFonts w:ascii="Calibri" w:hAnsi="Calibri" w:eastAsia="Calibri" w:cs="Calibri"/>
          <w:noProof w:val="0"/>
          <w:color w:val="000000" w:themeColor="text1" w:themeTint="FF" w:themeShade="FF"/>
          <w:sz w:val="22"/>
          <w:szCs w:val="22"/>
          <w:lang w:val="en-US"/>
        </w:rPr>
      </w:pPr>
      <w:proofErr w:type="spellStart"/>
      <w:r w:rsidRPr="1775EF5A" w:rsidR="1775EF5A">
        <w:rPr>
          <w:rFonts w:ascii="Calibri" w:hAnsi="Calibri" w:eastAsia="Calibri" w:cs="Calibri"/>
          <w:noProof w:val="0"/>
          <w:color w:val="000000" w:themeColor="text1" w:themeTint="FF" w:themeShade="FF"/>
          <w:sz w:val="22"/>
          <w:szCs w:val="22"/>
          <w:lang w:val="en-US"/>
        </w:rPr>
        <w:t>GMOクリック証券</w:t>
      </w:r>
      <w:proofErr w:type="spellEnd"/>
      <w:r w:rsidRPr="1775EF5A" w:rsidR="1775EF5A">
        <w:rPr>
          <w:rFonts w:ascii="Calibri" w:hAnsi="Calibri" w:eastAsia="Calibri" w:cs="Calibri"/>
          <w:noProof w:val="0"/>
          <w:color w:val="000000" w:themeColor="text1" w:themeTint="FF" w:themeShade="FF"/>
          <w:sz w:val="22"/>
          <w:szCs w:val="22"/>
          <w:lang w:val="en-US"/>
        </w:rPr>
        <w:t>　（ https://www.click-sec.com/）。</w:t>
      </w:r>
    </w:p>
    <w:p xmlns:wp14="http://schemas.microsoft.com/office/word/2010/wordml" w:rsidP="1775EF5A" wp14:paraId="675F7E7C" wp14:textId="7F2C6BBE">
      <w:pPr>
        <w:pStyle w:val="ListParagraph"/>
        <w:ind w:left="720"/>
        <w:rPr>
          <w:rFonts w:ascii="Calibri" w:hAnsi="Calibri" w:eastAsia="Calibri" w:cs="Calibri"/>
          <w:noProof w:val="0"/>
          <w:color w:val="000000" w:themeColor="text1" w:themeTint="FF" w:themeShade="FF"/>
          <w:sz w:val="22"/>
          <w:szCs w:val="22"/>
          <w:lang w:val="en-US"/>
        </w:rPr>
      </w:pPr>
    </w:p>
    <w:p xmlns:wp14="http://schemas.microsoft.com/office/word/2010/wordml" w:rsidP="1775EF5A" wp14:paraId="62E60413" wp14:textId="442A7A34">
      <w:pPr>
        <w:pStyle w:val="ListParagraph"/>
        <w:numPr>
          <w:ilvl w:val="0"/>
          <w:numId w:val="1"/>
        </w:numPr>
        <w:rPr>
          <w:rFonts w:ascii="Calibri" w:hAnsi="Calibri" w:eastAsia="Calibri" w:cs="Calibri"/>
          <w:b w:val="1"/>
          <w:bCs w:val="1"/>
          <w:noProof w:val="0"/>
          <w:color w:val="000000" w:themeColor="text1" w:themeTint="FF" w:themeShade="FF"/>
          <w:sz w:val="22"/>
          <w:szCs w:val="22"/>
          <w:lang w:val="en-US"/>
        </w:rPr>
      </w:pPr>
      <w:proofErr w:type="spellStart"/>
      <w:r w:rsidRPr="1775EF5A" w:rsidR="1775EF5A">
        <w:rPr>
          <w:rFonts w:ascii="Calibri" w:hAnsi="Calibri" w:eastAsia="Calibri" w:cs="Calibri"/>
          <w:b w:val="1"/>
          <w:bCs w:val="1"/>
          <w:noProof w:val="0"/>
          <w:sz w:val="22"/>
          <w:szCs w:val="22"/>
          <w:lang w:val="en-US"/>
        </w:rPr>
        <w:t>SBI証券</w:t>
      </w:r>
      <w:proofErr w:type="spellEnd"/>
    </w:p>
    <w:p xmlns:wp14="http://schemas.microsoft.com/office/word/2010/wordml" w:rsidP="1775EF5A" wp14:paraId="549D9ED5" wp14:textId="35D8AE4B">
      <w:pPr>
        <w:pStyle w:val="Normal"/>
        <w:spacing w:before="240" w:beforeAutospacing="off" w:after="240" w:afterAutospacing="off"/>
        <w:ind w:left="720"/>
      </w:pPr>
      <w:r w:rsidRPr="1775EF5A" w:rsidR="1775EF5A">
        <w:rPr>
          <w:rFonts w:ascii="Calibri" w:hAnsi="Calibri" w:eastAsia="Calibri" w:cs="Calibri"/>
          <w:noProof w:val="0"/>
          <w:color w:val="000000" w:themeColor="text1" w:themeTint="FF" w:themeShade="FF"/>
          <w:sz w:val="22"/>
          <w:szCs w:val="22"/>
          <w:lang w:val="en-US"/>
        </w:rPr>
        <w:t>SBI証券の公式ウェブサイトでは、株式、先物・オプション、投資信託、FXなど幅広い投資商品が取引可能です。特に日経ミニ先物や日経225先物などの商品も取り扱いがあり、トレーダー向けの情報やツールが提供されています。口座開設や取引についての詳細は公式ウェブサイトから確認できます。</w:t>
      </w:r>
    </w:p>
    <w:p xmlns:wp14="http://schemas.microsoft.com/office/word/2010/wordml" w:rsidP="1775EF5A" wp14:paraId="61A816D7" wp14:textId="4BAF7E18">
      <w:pPr>
        <w:pStyle w:val="ListParagraph"/>
        <w:numPr>
          <w:ilvl w:val="0"/>
          <w:numId w:val="1"/>
        </w:numPr>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proofErr w:type="spellStart"/>
      <w:r w:rsidRPr="1775EF5A" w:rsidR="1775EF5A">
        <w:rPr>
          <w:rFonts w:ascii="Calibri" w:hAnsi="Calibri" w:eastAsia="Calibri" w:cs="Calibri"/>
          <w:b w:val="1"/>
          <w:bCs w:val="1"/>
          <w:noProof w:val="0"/>
          <w:color w:val="000000" w:themeColor="text1" w:themeTint="FF" w:themeShade="FF"/>
          <w:sz w:val="22"/>
          <w:szCs w:val="22"/>
          <w:lang w:val="en-US"/>
        </w:rPr>
        <w:t>楽天証券</w:t>
      </w:r>
      <w:proofErr w:type="spellEnd"/>
      <w:r>
        <w:br/>
      </w:r>
      <w:proofErr w:type="spellStart"/>
      <w:r w:rsidRPr="1775EF5A" w:rsidR="1775EF5A">
        <w:rPr>
          <w:rFonts w:ascii="Calibri" w:hAnsi="Calibri" w:eastAsia="Calibri" w:cs="Calibri"/>
          <w:noProof w:val="0"/>
          <w:color w:val="000000" w:themeColor="text1" w:themeTint="FF" w:themeShade="FF"/>
          <w:sz w:val="22"/>
          <w:szCs w:val="22"/>
          <w:lang w:val="en-US"/>
        </w:rPr>
        <w:t>楽天証券では</w:t>
      </w:r>
      <w:proofErr w:type="spellEnd"/>
      <w:r w:rsidRPr="1775EF5A" w:rsidR="1775EF5A">
        <w:rPr>
          <w:rFonts w:ascii="Calibri" w:hAnsi="Calibri" w:eastAsia="Calibri" w:cs="Calibri"/>
          <w:noProof w:val="0"/>
          <w:color w:val="000000" w:themeColor="text1" w:themeTint="FF" w:themeShade="FF"/>
          <w:sz w:val="22"/>
          <w:szCs w:val="22"/>
          <w:lang w:val="en-US"/>
        </w:rPr>
        <w:t xml:space="preserve">、「iSPEED」や「マーケットスピードII」などのスマートフォンやPC向け取引ツールが提供されています。これらのツールを利用して、株式、先物、オプション取引などを簡単に行うことができます。また、初心者向けの学習コンテンツやセミナー情報も充実しています。詳細は楽天証券の公式サイトをご覧ください: </w:t>
      </w:r>
      <w:hyperlink r:id="Re328b2fe61a040da">
        <w:r w:rsidRPr="1775EF5A" w:rsidR="1775EF5A">
          <w:rPr>
            <w:rStyle w:val="Hyperlink"/>
            <w:rFonts w:ascii="Calibri" w:hAnsi="Calibri" w:eastAsia="Calibri" w:cs="Calibri"/>
            <w:noProof w:val="0"/>
            <w:color w:val="000000" w:themeColor="text1" w:themeTint="FF" w:themeShade="FF"/>
            <w:sz w:val="22"/>
            <w:szCs w:val="22"/>
            <w:lang w:val="en-US"/>
          </w:rPr>
          <w:t>楽天証券公式サイト</w:t>
        </w:r>
      </w:hyperlink>
      <w:r w:rsidRPr="1775EF5A" w:rsidR="1775EF5A">
        <w:rPr>
          <w:rFonts w:ascii="Calibri" w:hAnsi="Calibri" w:eastAsia="Calibri" w:cs="Calibri"/>
          <w:noProof w:val="0"/>
          <w:color w:val="000000" w:themeColor="text1" w:themeTint="FF" w:themeShade="FF"/>
          <w:sz w:val="22"/>
          <w:szCs w:val="22"/>
          <w:lang w:val="en-US"/>
        </w:rPr>
        <w:t>【95】【96】。</w:t>
      </w:r>
    </w:p>
    <w:p xmlns:wp14="http://schemas.microsoft.com/office/word/2010/wordml" w:rsidP="1775EF5A" wp14:paraId="6488B1AB" wp14:textId="64A7B317">
      <w:pPr>
        <w:pStyle w:val="ListParagraph"/>
        <w:numPr>
          <w:ilvl w:val="0"/>
          <w:numId w:val="1"/>
        </w:num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1775EF5A" w:rsidR="1775EF5A">
        <w:rPr>
          <w:rFonts w:ascii="Calibri" w:hAnsi="Calibri" w:eastAsia="Calibri" w:cs="Calibri"/>
          <w:b w:val="1"/>
          <w:bCs w:val="1"/>
          <w:noProof w:val="0"/>
          <w:color w:val="000000" w:themeColor="text1" w:themeTint="FF" w:themeShade="FF"/>
          <w:sz w:val="22"/>
          <w:szCs w:val="22"/>
          <w:lang w:val="en-US"/>
        </w:rPr>
        <w:t>GMOクリック証券</w:t>
      </w:r>
      <w:r>
        <w:br/>
      </w:r>
      <w:r w:rsidRPr="1775EF5A" w:rsidR="1775EF5A">
        <w:rPr>
          <w:rFonts w:ascii="Calibri" w:hAnsi="Calibri" w:eastAsia="Calibri" w:cs="Calibri"/>
          <w:noProof w:val="0"/>
          <w:color w:val="000000" w:themeColor="text1" w:themeTint="FF" w:themeShade="FF"/>
          <w:sz w:val="22"/>
          <w:szCs w:val="22"/>
          <w:lang w:val="en-US"/>
        </w:rPr>
        <w:t xml:space="preserve">GMOクリック証券も、多機能な取引ツールや低コストの取引環境を提供しています。先物取引のほか、FXやCFD、株式取引も利用可能です。公式サイトでアカウント開設やツール情報を確認できます: </w:t>
      </w:r>
      <w:hyperlink r:id="R3abff7b65ee1427c">
        <w:r w:rsidRPr="1775EF5A" w:rsidR="1775EF5A">
          <w:rPr>
            <w:rStyle w:val="Hyperlink"/>
            <w:rFonts w:ascii="Calibri" w:hAnsi="Calibri" w:eastAsia="Calibri" w:cs="Calibri"/>
            <w:noProof w:val="0"/>
            <w:color w:val="000000" w:themeColor="text1" w:themeTint="FF" w:themeShade="FF"/>
            <w:sz w:val="22"/>
            <w:szCs w:val="22"/>
            <w:lang w:val="en-US"/>
          </w:rPr>
          <w:t>GMOクリック証券公式サイト</w:t>
        </w:r>
      </w:hyperlink>
      <w:r w:rsidRPr="1775EF5A" w:rsidR="1775EF5A">
        <w:rPr>
          <w:rFonts w:ascii="Calibri" w:hAnsi="Calibri" w:eastAsia="Calibri" w:cs="Calibri"/>
          <w:noProof w:val="0"/>
          <w:color w:val="000000" w:themeColor="text1" w:themeTint="FF" w:themeShade="FF"/>
          <w:sz w:val="22"/>
          <w:szCs w:val="22"/>
          <w:lang w:val="en-US"/>
        </w:rPr>
        <w:t>。</w:t>
      </w:r>
    </w:p>
    <w:p xmlns:wp14="http://schemas.microsoft.com/office/word/2010/wordml" w:rsidP="1775EF5A" wp14:paraId="4A743ABA" wp14:textId="798386F7">
      <w:pPr>
        <w:spacing w:before="240" w:beforeAutospacing="off" w:after="240" w:afterAutospacing="off"/>
      </w:pPr>
      <w:r w:rsidRPr="1775EF5A" w:rsidR="1775EF5A">
        <w:rPr>
          <w:rFonts w:ascii="Calibri" w:hAnsi="Calibri" w:eastAsia="Calibri" w:cs="Calibri"/>
          <w:noProof w:val="0"/>
          <w:color w:val="000000" w:themeColor="text1" w:themeTint="FF" w:themeShade="FF"/>
          <w:sz w:val="22"/>
          <w:szCs w:val="22"/>
          <w:lang w:val="en-US"/>
        </w:rPr>
        <w:t>どちらの証券会社も、先物取引やその他の投資商品のサポートを提供しているため、自分の投資スタイルに合った会社を選ぶと良いでしょう。</w:t>
      </w:r>
    </w:p>
    <w:p xmlns:wp14="http://schemas.microsoft.com/office/word/2010/wordml" w:rsidP="1775EF5A" wp14:paraId="101192C7" wp14:textId="3F29A3C4">
      <w:pPr>
        <w:pStyle w:val="Normal"/>
        <w:rPr>
          <w:rFonts w:ascii="Calibri" w:hAnsi="Calibri" w:eastAsia="Calibri" w:cs="Calibri"/>
          <w:noProof w:val="0"/>
          <w:color w:val="000000" w:themeColor="text1" w:themeTint="FF" w:themeShade="FF"/>
          <w:sz w:val="22"/>
          <w:szCs w:val="22"/>
          <w:lang w:val="en-US"/>
        </w:rPr>
      </w:pPr>
    </w:p>
    <w:p xmlns:wp14="http://schemas.microsoft.com/office/word/2010/wordml" wp14:paraId="2C078E63" wp14:textId="69547C04">
      <w:r w:rsidRPr="1775EF5A" w:rsidR="1775EF5A">
        <w:rPr>
          <w:rFonts w:ascii="Calibri" w:hAnsi="Calibri" w:eastAsia="Calibri" w:cs="Calibri"/>
          <w:noProof w:val="0"/>
          <w:color w:val="000000" w:themeColor="text1" w:themeTint="FF" w:themeShade="FF"/>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0973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6F785"/>
    <w:rsid w:val="1775EF5A"/>
    <w:rsid w:val="76B6F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785"/>
  <w15:chartTrackingRefBased/>
  <w15:docId w15:val="{BCEFF69E-8951-4D1E-88AC-C08669D280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bisec.co.jp/ETGate/" TargetMode="External" Id="R8bad828062344062" /><Relationship Type="http://schemas.openxmlformats.org/officeDocument/2006/relationships/hyperlink" Target="https://www.sbisec.co.jp/ETGate/&#65289;" TargetMode="External" Id="Rd7a2407f53b946fa" /><Relationship Type="http://schemas.openxmlformats.org/officeDocument/2006/relationships/hyperlink" Target="https://www.rakuten-sec.co.jp/" TargetMode="External" Id="R3aafbc2290a94435" /><Relationship Type="http://schemas.openxmlformats.org/officeDocument/2006/relationships/hyperlink" Target="https://www.rakuten-sec.co.jp/" TargetMode="External" Id="R17fa54bc67d24bd1" /><Relationship Type="http://schemas.openxmlformats.org/officeDocument/2006/relationships/hyperlink" Target="https://www.rakuten-sec.co.jp/" TargetMode="External" Id="Re328b2fe61a040da" /><Relationship Type="http://schemas.openxmlformats.org/officeDocument/2006/relationships/hyperlink" Target="https://www.click-sec.com/" TargetMode="External" Id="R3abff7b65ee1427c" /><Relationship Type="http://schemas.openxmlformats.org/officeDocument/2006/relationships/numbering" Target="numbering.xml" Id="R99af408a0a1b4f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2024-11-24T08:18:37.1446312Z</dcterms:created>
  <dcterms:modified xsi:type="dcterms:W3CDTF">2024-11-24T08:27:51.6739051Z</dcterms:modified>
  <dc:creator>business.krish@yahoo.co.in</dc:creator>
  <lastModifiedBy>business.krish@yahoo.co.in</lastModifiedBy>
</coreProperties>
</file>