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AC7B0" w14:textId="130FFCDE" w:rsidR="00E14840" w:rsidRDefault="00E14840" w:rsidP="00E14840">
      <w:pPr>
        <w:pStyle w:val="Heading4"/>
        <w:rPr>
          <w:i w:val="0"/>
          <w:iCs w:val="0"/>
        </w:rPr>
      </w:pPr>
      <w:r w:rsidRPr="00E14840">
        <w:rPr>
          <w:i w:val="0"/>
          <w:iCs w:val="0"/>
        </w:rPr>
        <w:t>2.1.3.2 Development Relevant Legislation</w:t>
      </w:r>
    </w:p>
    <w:p w14:paraId="67647ECE" w14:textId="77777777" w:rsidR="00E14840" w:rsidRPr="00E14840" w:rsidRDefault="00E14840" w:rsidP="00E14840"/>
    <w:p w14:paraId="72DBAD63" w14:textId="7F7153BA" w:rsidR="00E14840" w:rsidRDefault="00E14840" w:rsidP="00E14840">
      <w:pPr>
        <w:jc w:val="both"/>
      </w:pPr>
      <w:r>
        <w:t xml:space="preserve">Information regarding students, tutors and module leaders will be stored in proposed course management system. The data must be used responsibly and only kept when absolutely necessary. The General Data Protection Regulation (GDPR) has been implanted in the United Kingdom as the Data Protection Act 2018. The following is the rule regarding the use of private data store with in the </w:t>
      </w:r>
      <w:r>
        <w:t>system (</w:t>
      </w:r>
      <w:r>
        <w:t>GOV.UK,2018).</w:t>
      </w:r>
    </w:p>
    <w:p w14:paraId="709791F1" w14:textId="77777777" w:rsidR="00E14840" w:rsidRDefault="00E14840" w:rsidP="00E14840">
      <w:pPr>
        <w:pStyle w:val="ListParagraph"/>
        <w:numPr>
          <w:ilvl w:val="0"/>
          <w:numId w:val="2"/>
        </w:numPr>
        <w:jc w:val="both"/>
      </w:pPr>
      <w:r>
        <w:t>Used in a fair, legal and transparent manner.</w:t>
      </w:r>
    </w:p>
    <w:p w14:paraId="01C6C8CF" w14:textId="77777777" w:rsidR="00E14840" w:rsidRDefault="00E14840" w:rsidP="00E14840">
      <w:pPr>
        <w:pStyle w:val="ListParagraph"/>
        <w:numPr>
          <w:ilvl w:val="0"/>
          <w:numId w:val="2"/>
        </w:numPr>
        <w:jc w:val="both"/>
      </w:pPr>
      <w:r>
        <w:t>Used for specific, stated objectives</w:t>
      </w:r>
    </w:p>
    <w:p w14:paraId="42126339" w14:textId="77777777" w:rsidR="00E14840" w:rsidRDefault="00E14840" w:rsidP="00E14840">
      <w:pPr>
        <w:pStyle w:val="ListParagraph"/>
        <w:numPr>
          <w:ilvl w:val="0"/>
          <w:numId w:val="2"/>
        </w:numPr>
        <w:jc w:val="both"/>
      </w:pPr>
      <w:r>
        <w:t>Accurate and when applicable, updated.</w:t>
      </w:r>
    </w:p>
    <w:p w14:paraId="56755A20" w14:textId="312AEE01" w:rsidR="00E14840" w:rsidRDefault="00E14840" w:rsidP="00E14840">
      <w:pPr>
        <w:pStyle w:val="ListParagraph"/>
        <w:numPr>
          <w:ilvl w:val="0"/>
          <w:numId w:val="2"/>
        </w:numPr>
        <w:jc w:val="both"/>
      </w:pPr>
      <w:r>
        <w:t xml:space="preserve">Managed in a secure manner, including a security against unauthorized or unethical processing, </w:t>
      </w:r>
      <w:r>
        <w:t>access,</w:t>
      </w:r>
      <w:r>
        <w:t xml:space="preserve"> loss, destruction or harm.</w:t>
      </w:r>
    </w:p>
    <w:p w14:paraId="6F0F54FD" w14:textId="77777777" w:rsidR="00E14840" w:rsidRPr="003B04C1" w:rsidRDefault="00E14840" w:rsidP="00E14840">
      <w:pPr>
        <w:jc w:val="both"/>
        <w:rPr>
          <w:rFonts w:ascii="Calibri Light" w:hAnsi="Calibri Light" w:cs="Calibri Light"/>
          <w:b/>
          <w:color w:val="538135" w:themeColor="accent6" w:themeShade="BF"/>
          <w:sz w:val="28"/>
          <w:szCs w:val="28"/>
        </w:rPr>
      </w:pPr>
      <w:r w:rsidRPr="000E15D7">
        <w:t>Legislation, the preparing and enacting of laws by local, state, or national legislatures.</w:t>
      </w:r>
      <w:r>
        <w:t xml:space="preserve"> </w:t>
      </w:r>
      <w:r w:rsidRPr="000E15D7">
        <w:t>Software engineers are required to behave in the public interest or on behalf of the people they serve. Legislation is continually and profoundly altering how software developers construct and distribute software systems to their customers.</w:t>
      </w:r>
    </w:p>
    <w:p w14:paraId="3A3C662C" w14:textId="2FE5CA30" w:rsidR="00E14840" w:rsidRDefault="00E14840" w:rsidP="00E14840">
      <w:pPr>
        <w:pStyle w:val="Heading5"/>
        <w:rPr>
          <w:lang w:val="en-GB"/>
        </w:rPr>
      </w:pPr>
      <w:r w:rsidRPr="008B148F">
        <w:rPr>
          <w:lang w:val="en-GB"/>
        </w:rPr>
        <w:t>2.1.3.2.1 Equality Act</w:t>
      </w:r>
    </w:p>
    <w:p w14:paraId="1D8A5DFE" w14:textId="77777777" w:rsidR="00E14840" w:rsidRPr="00E14840" w:rsidRDefault="00E14840" w:rsidP="00E14840">
      <w:pPr>
        <w:rPr>
          <w:lang w:val="en-GB"/>
        </w:rPr>
      </w:pPr>
    </w:p>
    <w:p w14:paraId="3A286DFE" w14:textId="77777777" w:rsidR="00E14840" w:rsidRDefault="00E14840" w:rsidP="00E14840">
      <w:pPr>
        <w:jc w:val="both"/>
      </w:pPr>
      <w:r w:rsidRPr="000E15D7">
        <w:t>Since the Equality Act came into effect, website owners have been required by law to make their sites accessible to all visitors, as it is illegal to discriminate against people wit</w:t>
      </w:r>
      <w:r>
        <w:t xml:space="preserve">h disabilities. </w:t>
      </w:r>
      <w:r w:rsidRPr="00BC257D">
        <w:t>All service providers are subject to the Equality Act's restrictions.</w:t>
      </w:r>
      <w:r>
        <w:t xml:space="preserve"> </w:t>
      </w:r>
      <w:r w:rsidRPr="000E15D7">
        <w:t>However, just because you're not a government body doesn't mean the regulations don't apply to you. While the exact meaning of several terms in the Equality Act can be ambiguous, most people agree that the term "supply of a service" applies to commercial web services just as much as it does to traditional government services.</w:t>
      </w:r>
    </w:p>
    <w:p w14:paraId="3C10721B" w14:textId="77777777" w:rsidR="00E14840" w:rsidRDefault="00E14840" w:rsidP="00E14840">
      <w:pPr>
        <w:jc w:val="both"/>
      </w:pPr>
      <w:r w:rsidRPr="000E15D7">
        <w:t>The key for website owners is to utilize a design and layout that is simple enough for the most of users to understand.</w:t>
      </w:r>
      <w:r>
        <w:t xml:space="preserve"> </w:t>
      </w:r>
      <w:r w:rsidRPr="000E15D7">
        <w:t>Through a range of adjustable accessibility and language options, technology solutions like the Recite Me assistive toolbar enable websites are fully inclusive.</w:t>
      </w:r>
    </w:p>
    <w:p w14:paraId="5DF63E90" w14:textId="6044A8D8" w:rsidR="00E14840" w:rsidRDefault="00E14840" w:rsidP="00E14840">
      <w:pPr>
        <w:jc w:val="both"/>
        <w:rPr>
          <w:i/>
        </w:rPr>
      </w:pPr>
      <w:r>
        <w:t>Reference</w:t>
      </w:r>
      <w:r w:rsidRPr="00D26775">
        <w:rPr>
          <w:i/>
        </w:rPr>
        <w:t xml:space="preserve">: </w:t>
      </w:r>
      <w:hyperlink r:id="rId5" w:history="1">
        <w:r w:rsidRPr="00010434">
          <w:rPr>
            <w:rStyle w:val="Hyperlink"/>
            <w:i/>
          </w:rPr>
          <w:t>https://en.wikipedia.org/wiki/Equality_Act_2010/ Accessed Date 2022/05/12</w:t>
        </w:r>
      </w:hyperlink>
      <w:r>
        <w:rPr>
          <w:i/>
        </w:rPr>
        <w:t xml:space="preserve"> 4:30 </w:t>
      </w:r>
      <w:r w:rsidRPr="00D26775">
        <w:rPr>
          <w:i/>
        </w:rPr>
        <w:t>P</w:t>
      </w:r>
      <w:r>
        <w:rPr>
          <w:i/>
        </w:rPr>
        <w:t>M</w:t>
      </w:r>
    </w:p>
    <w:p w14:paraId="450E62ED" w14:textId="77777777" w:rsidR="00E14840" w:rsidRDefault="00E14840" w:rsidP="00E14840">
      <w:pPr>
        <w:jc w:val="both"/>
        <w:rPr>
          <w:i/>
        </w:rPr>
      </w:pPr>
    </w:p>
    <w:p w14:paraId="4ACB0276" w14:textId="595B656F" w:rsidR="00E14840" w:rsidRDefault="00E14840" w:rsidP="00E14840">
      <w:pPr>
        <w:pStyle w:val="Heading5"/>
        <w:rPr>
          <w:lang w:val="en-GB"/>
        </w:rPr>
      </w:pPr>
      <w:r w:rsidRPr="00E14840">
        <w:rPr>
          <w:lang w:val="en-GB"/>
        </w:rPr>
        <w:t>2.1.3.2.2 General Data Protection Regulations (GDPR)</w:t>
      </w:r>
    </w:p>
    <w:p w14:paraId="224F4824" w14:textId="77777777" w:rsidR="00E14840" w:rsidRPr="00E14840" w:rsidRDefault="00E14840" w:rsidP="00E14840">
      <w:pPr>
        <w:rPr>
          <w:lang w:val="en-GB"/>
        </w:rPr>
      </w:pPr>
    </w:p>
    <w:p w14:paraId="692A5523" w14:textId="77777777" w:rsidR="00E14840" w:rsidRDefault="00E14840" w:rsidP="00E14840">
      <w:pPr>
        <w:jc w:val="both"/>
      </w:pPr>
      <w:r w:rsidRPr="00C74786">
        <w:t>GDPR is an EU law that establishes necessary guidelines for how organizations and businesses must handle personal data in an ethical manner. Every entity that handles personal data (which includes businesses with workers and customers) must guarantee that the personal data they use complies with the GDPR's obligations.</w:t>
      </w:r>
      <w:r>
        <w:t xml:space="preserve"> Its main requirements are:</w:t>
      </w:r>
    </w:p>
    <w:p w14:paraId="18110B9D" w14:textId="77777777" w:rsidR="00E14840" w:rsidRDefault="00E14840" w:rsidP="00E14840">
      <w:pPr>
        <w:pStyle w:val="ListParagraph"/>
        <w:numPr>
          <w:ilvl w:val="0"/>
          <w:numId w:val="1"/>
        </w:numPr>
        <w:spacing w:after="200" w:line="276" w:lineRule="auto"/>
        <w:jc w:val="both"/>
      </w:pPr>
      <w:r>
        <w:t>Use personal data must be in line with integrity friendly principle.</w:t>
      </w:r>
    </w:p>
    <w:p w14:paraId="60F74F17" w14:textId="77777777" w:rsidR="00E14840" w:rsidRDefault="00E14840" w:rsidP="00E14840">
      <w:pPr>
        <w:pStyle w:val="ListParagraph"/>
        <w:numPr>
          <w:ilvl w:val="0"/>
          <w:numId w:val="1"/>
        </w:numPr>
        <w:spacing w:after="200" w:line="276" w:lineRule="auto"/>
        <w:jc w:val="both"/>
      </w:pPr>
      <w:r>
        <w:t>Use of personal data must be legal.</w:t>
      </w:r>
    </w:p>
    <w:p w14:paraId="0AA20305" w14:textId="77777777" w:rsidR="00E14840" w:rsidRDefault="00E14840" w:rsidP="00E14840">
      <w:pPr>
        <w:pStyle w:val="ListParagraph"/>
        <w:numPr>
          <w:ilvl w:val="0"/>
          <w:numId w:val="1"/>
        </w:numPr>
        <w:spacing w:after="200" w:line="276" w:lineRule="auto"/>
        <w:jc w:val="both"/>
      </w:pPr>
      <w:r>
        <w:t>Use of personal data must be respectful to individual's rights.</w:t>
      </w:r>
    </w:p>
    <w:p w14:paraId="045A8C3F" w14:textId="77777777" w:rsidR="00E14840" w:rsidRDefault="00E14840" w:rsidP="00E14840">
      <w:pPr>
        <w:pStyle w:val="ListParagraph"/>
        <w:numPr>
          <w:ilvl w:val="0"/>
          <w:numId w:val="1"/>
        </w:numPr>
        <w:spacing w:after="200" w:line="276" w:lineRule="auto"/>
        <w:jc w:val="both"/>
      </w:pPr>
      <w:r>
        <w:lastRenderedPageBreak/>
        <w:t>Personal data breach must be reported within 72 hours.</w:t>
      </w:r>
    </w:p>
    <w:p w14:paraId="20C2ED8F" w14:textId="77777777" w:rsidR="00E14840" w:rsidRDefault="00E14840" w:rsidP="00E14840">
      <w:pPr>
        <w:pStyle w:val="ListParagraph"/>
        <w:numPr>
          <w:ilvl w:val="0"/>
          <w:numId w:val="1"/>
        </w:numPr>
        <w:spacing w:after="200" w:line="276" w:lineRule="auto"/>
        <w:jc w:val="both"/>
      </w:pPr>
      <w:r>
        <w:t>Businesses are responsible for their suppliers.</w:t>
      </w:r>
    </w:p>
    <w:p w14:paraId="712041EA" w14:textId="6F3C4B9C" w:rsidR="00E14840" w:rsidRDefault="00E14840" w:rsidP="00E14840">
      <w:pPr>
        <w:jc w:val="both"/>
        <w:rPr>
          <w:i/>
        </w:rPr>
      </w:pPr>
      <w:r w:rsidRPr="00CF5591">
        <w:rPr>
          <w:i/>
        </w:rPr>
        <w:t xml:space="preserve">Reference: </w:t>
      </w:r>
      <w:hyperlink r:id="rId6" w:history="1">
        <w:r w:rsidRPr="00CF5591">
          <w:rPr>
            <w:rStyle w:val="Hyperlink"/>
            <w:i/>
          </w:rPr>
          <w:t>https://www.gdprsummary.com/gdpr-summary/</w:t>
        </w:r>
      </w:hyperlink>
      <w:r w:rsidRPr="00CF5591">
        <w:rPr>
          <w:i/>
        </w:rPr>
        <w:t xml:space="preserve"> Accessed Date 2022/05/12 </w:t>
      </w:r>
      <w:r>
        <w:rPr>
          <w:i/>
        </w:rPr>
        <w:t xml:space="preserve">4:30 </w:t>
      </w:r>
      <w:r w:rsidRPr="00CF5591">
        <w:rPr>
          <w:i/>
        </w:rPr>
        <w:t>PM</w:t>
      </w:r>
    </w:p>
    <w:p w14:paraId="772DA019" w14:textId="77777777" w:rsidR="00E14840" w:rsidRDefault="00E14840" w:rsidP="00E14840">
      <w:pPr>
        <w:jc w:val="both"/>
        <w:rPr>
          <w:i/>
        </w:rPr>
      </w:pPr>
    </w:p>
    <w:p w14:paraId="7D8DAC55" w14:textId="7D82B24D" w:rsidR="00E14840" w:rsidRDefault="00E14840" w:rsidP="00E14840">
      <w:pPr>
        <w:pStyle w:val="Heading5"/>
        <w:rPr>
          <w:lang w:val="en-GB"/>
        </w:rPr>
      </w:pPr>
      <w:r w:rsidRPr="00E14840">
        <w:rPr>
          <w:lang w:val="en-GB"/>
        </w:rPr>
        <w:t>2.1.3.2.3 Educational Relevant Legislation</w:t>
      </w:r>
    </w:p>
    <w:p w14:paraId="19FF390C" w14:textId="77777777" w:rsidR="00E14840" w:rsidRPr="00E14840" w:rsidRDefault="00E14840" w:rsidP="00E14840">
      <w:pPr>
        <w:rPr>
          <w:bCs/>
          <w:lang w:val="en-GB"/>
        </w:rPr>
      </w:pPr>
    </w:p>
    <w:p w14:paraId="3F1942AC" w14:textId="77777777" w:rsidR="00E14840" w:rsidRPr="00E14840" w:rsidRDefault="00E14840" w:rsidP="00E14840">
      <w:pPr>
        <w:rPr>
          <w:rFonts w:ascii="Calibri Light" w:hAnsi="Calibri Light" w:cs="Calibri Light"/>
          <w:bCs/>
        </w:rPr>
      </w:pPr>
      <w:r w:rsidRPr="00E14840">
        <w:rPr>
          <w:rFonts w:ascii="Calibri Light" w:hAnsi="Calibri Light" w:cs="Calibri Light"/>
          <w:bCs/>
        </w:rPr>
        <w:t>1. Intellectual property, copyright and piracy</w:t>
      </w:r>
    </w:p>
    <w:p w14:paraId="471F9BD2" w14:textId="77777777" w:rsidR="00E14840" w:rsidRDefault="00E14840" w:rsidP="00E14840">
      <w:r w:rsidRPr="0015570F">
        <w:t>The rules governing intellectual property, copyright, and piracy differ greatly by market. If you break local laws in many markets, you may face legal consequences. International copyright rules, such as the TRIPS Agreement of 1994 and/or the Berne Convention of 1928, have been signed by several countries. When using another entity's components, whether open-source or not, it's critical to understand and follow the license agreement linked with that code.</w:t>
      </w:r>
    </w:p>
    <w:p w14:paraId="22A9B13D" w14:textId="77777777" w:rsidR="00E14840" w:rsidRPr="00E14840" w:rsidRDefault="00E14840" w:rsidP="00E14840">
      <w:pPr>
        <w:rPr>
          <w:bCs/>
          <w:lang w:val="en-GB"/>
        </w:rPr>
      </w:pPr>
      <w:r w:rsidRPr="00E14840">
        <w:rPr>
          <w:bCs/>
          <w:lang w:val="en-GB"/>
        </w:rPr>
        <w:t>2. Encryption Declaration</w:t>
      </w:r>
    </w:p>
    <w:p w14:paraId="630144DA" w14:textId="77777777" w:rsidR="00E14840" w:rsidRDefault="00E14840" w:rsidP="00E14840">
      <w:r w:rsidRPr="005D0CC7">
        <w:t>Cryptography rules differ from country to country. Some countries prohibit the use of encryption in communications, while others demand a license to use encrypted software or those police officers have decryption keys in case they are needed during an investigation.</w:t>
      </w:r>
    </w:p>
    <w:p w14:paraId="42BB5B47" w14:textId="77777777" w:rsidR="00E14840" w:rsidRPr="00E14840" w:rsidRDefault="00E14840" w:rsidP="00E14840">
      <w:pPr>
        <w:rPr>
          <w:bCs/>
          <w:lang w:val="en-GB"/>
        </w:rPr>
      </w:pPr>
      <w:r w:rsidRPr="00E14840">
        <w:rPr>
          <w:bCs/>
          <w:lang w:val="en-GB"/>
        </w:rPr>
        <w:t>3. Entry to Market</w:t>
      </w:r>
    </w:p>
    <w:p w14:paraId="28A984D7" w14:textId="2C615765" w:rsidR="00E14840" w:rsidRDefault="00E14840" w:rsidP="00E14840">
      <w:r w:rsidRPr="005D0CC7">
        <w:t>Before your software may be distributed or sold in some markets, you may need to register it. Market conditions and procedures differ from country to country.</w:t>
      </w:r>
    </w:p>
    <w:p w14:paraId="2D62839A" w14:textId="77777777" w:rsidR="00E14840" w:rsidRDefault="00E14840" w:rsidP="00E14840"/>
    <w:p w14:paraId="0A5A01FA" w14:textId="77777777" w:rsidR="00E14840" w:rsidRPr="00032218" w:rsidRDefault="00E14840" w:rsidP="00E14840">
      <w:pPr>
        <w:rPr>
          <w:i/>
        </w:rPr>
      </w:pPr>
      <w:r w:rsidRPr="00032218">
        <w:rPr>
          <w:i/>
        </w:rPr>
        <w:t xml:space="preserve">Reference: </w:t>
      </w:r>
      <w:hyperlink r:id="rId7" w:history="1">
        <w:r w:rsidRPr="00032218">
          <w:rPr>
            <w:rStyle w:val="Hyperlink"/>
            <w:i/>
          </w:rPr>
          <w:t>https://docs.microsoft.com/en-us/globalization/design/international-laws-and-standards/</w:t>
        </w:r>
      </w:hyperlink>
      <w:r w:rsidRPr="00032218">
        <w:rPr>
          <w:i/>
        </w:rPr>
        <w:t xml:space="preserve"> Accessed Date 2022/05/12 5:00 PM</w:t>
      </w:r>
    </w:p>
    <w:p w14:paraId="3A0A8D71" w14:textId="77777777" w:rsidR="00E14840" w:rsidRPr="00D54392" w:rsidRDefault="00E14840" w:rsidP="00E14840">
      <w:pPr>
        <w:rPr>
          <w:rFonts w:ascii="Calibri Light" w:hAnsi="Calibri Light" w:cs="Calibri Light"/>
          <w:b/>
          <w:bCs/>
          <w:color w:val="538135" w:themeColor="accent6" w:themeShade="BF"/>
          <w:sz w:val="28"/>
          <w:szCs w:val="28"/>
        </w:rPr>
      </w:pPr>
    </w:p>
    <w:p w14:paraId="41E0F5AD" w14:textId="77777777" w:rsidR="00E14840" w:rsidRDefault="00E14840" w:rsidP="00E14840"/>
    <w:p w14:paraId="6E3DCE94" w14:textId="77777777" w:rsidR="00E14840" w:rsidRPr="000B0623" w:rsidRDefault="00E14840" w:rsidP="00E14840">
      <w:pPr>
        <w:rPr>
          <w:rFonts w:cs="Times New Roman"/>
          <w:color w:val="000000" w:themeColor="text1"/>
          <w:szCs w:val="24"/>
        </w:rPr>
      </w:pPr>
    </w:p>
    <w:p w14:paraId="542AF0B6" w14:textId="77777777" w:rsidR="00E14840" w:rsidRPr="0097780C" w:rsidRDefault="00E14840" w:rsidP="00E14840">
      <w:pPr>
        <w:rPr>
          <w:rFonts w:cs="Times New Roman"/>
          <w:szCs w:val="24"/>
        </w:rPr>
      </w:pPr>
      <w:r w:rsidRPr="0097780C">
        <w:rPr>
          <w:rFonts w:cs="Times New Roman"/>
          <w:szCs w:val="24"/>
        </w:rPr>
        <w:br/>
      </w:r>
      <w:r w:rsidRPr="0097780C">
        <w:rPr>
          <w:rFonts w:cs="Times New Roman"/>
          <w:szCs w:val="24"/>
        </w:rPr>
        <w:br/>
      </w:r>
    </w:p>
    <w:p w14:paraId="0E615428" w14:textId="77777777" w:rsidR="00E14840" w:rsidRPr="00E62699" w:rsidRDefault="00E14840" w:rsidP="00E14840">
      <w:pPr>
        <w:pStyle w:val="ListParagraph"/>
        <w:rPr>
          <w:rFonts w:cs="Times New Roman"/>
          <w:szCs w:val="24"/>
        </w:rPr>
      </w:pPr>
    </w:p>
    <w:p w14:paraId="46E6346F" w14:textId="77777777" w:rsidR="00E14840" w:rsidRPr="00E95A9A" w:rsidRDefault="00E14840" w:rsidP="00E14840">
      <w:pPr>
        <w:rPr>
          <w:rFonts w:asciiTheme="majorHAnsi" w:hAnsiTheme="majorHAnsi" w:cstheme="majorHAnsi"/>
          <w:color w:val="1F4E79" w:themeColor="accent5" w:themeShade="80"/>
          <w:sz w:val="32"/>
          <w:szCs w:val="32"/>
        </w:rPr>
      </w:pPr>
    </w:p>
    <w:p w14:paraId="02884F8F" w14:textId="77777777" w:rsidR="00326A20" w:rsidRDefault="00326A20"/>
    <w:sectPr w:rsidR="00326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36E13"/>
    <w:multiLevelType w:val="hybridMultilevel"/>
    <w:tmpl w:val="4632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1381D"/>
    <w:multiLevelType w:val="hybridMultilevel"/>
    <w:tmpl w:val="0050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67403">
    <w:abstractNumId w:val="0"/>
  </w:num>
  <w:num w:numId="2" w16cid:durableId="1765804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40"/>
    <w:rsid w:val="00326A20"/>
    <w:rsid w:val="007F7EA7"/>
    <w:rsid w:val="00E1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9814"/>
  <w15:chartTrackingRefBased/>
  <w15:docId w15:val="{B5573E08-E3AF-4F8F-B064-582EC33A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84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E148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8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484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148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148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840"/>
    <w:pPr>
      <w:ind w:left="720"/>
      <w:contextualSpacing/>
    </w:pPr>
  </w:style>
  <w:style w:type="character" w:styleId="Hyperlink">
    <w:name w:val="Hyperlink"/>
    <w:basedOn w:val="DefaultParagraphFont"/>
    <w:uiPriority w:val="99"/>
    <w:unhideWhenUsed/>
    <w:rsid w:val="00E14840"/>
    <w:rPr>
      <w:color w:val="0563C1" w:themeColor="hyperlink"/>
      <w:u w:val="single"/>
    </w:rPr>
  </w:style>
  <w:style w:type="character" w:customStyle="1" w:styleId="Heading1Char">
    <w:name w:val="Heading 1 Char"/>
    <w:basedOn w:val="DefaultParagraphFont"/>
    <w:link w:val="Heading1"/>
    <w:uiPriority w:val="9"/>
    <w:rsid w:val="00E148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8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48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1484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14840"/>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globalization/design/international-laws-and-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dprsummary.com/gdpr-summary/" TargetMode="External"/><Relationship Id="rId5" Type="http://schemas.openxmlformats.org/officeDocument/2006/relationships/hyperlink" Target="https://en.wikipedia.org/wiki/Equality_Act_2010/%20Accessed%20Date%202022/05/1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Tamang</dc:creator>
  <cp:keywords/>
  <dc:description/>
  <cp:lastModifiedBy>Sanjiv Tamang</cp:lastModifiedBy>
  <cp:revision>1</cp:revision>
  <dcterms:created xsi:type="dcterms:W3CDTF">2022-05-12T15:36:00Z</dcterms:created>
  <dcterms:modified xsi:type="dcterms:W3CDTF">2022-05-12T16:08:00Z</dcterms:modified>
</cp:coreProperties>
</file>