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trongEmphasis"/>
        </w:rPr>
        <w:t xml:space="preserve">Editor’s note: </w:t>
      </w:r>
      <w:r>
        <w:rPr/>
        <w:br/>
        <w:t>Builder Page Sample, V2, 24-Sep</w:t>
      </w:r>
    </w:p>
    <w:p>
      <w:pPr>
        <w:pStyle w:val="TextBody"/>
        <w:rPr/>
      </w:pPr>
      <w:r>
        <w:rPr>
          <w:rStyle w:val="StrongEmphasis"/>
        </w:rPr>
        <w:t xml:space="preserve">Feedback implemented: </w:t>
      </w:r>
    </w:p>
    <w:p>
      <w:pPr>
        <w:pStyle w:val="TextBody"/>
        <w:numPr>
          <w:ilvl w:val="0"/>
          <w:numId w:val="1"/>
        </w:numPr>
        <w:tabs>
          <w:tab w:val="left" w:pos="0" w:leader="none"/>
        </w:tabs>
        <w:spacing w:before="0" w:after="0"/>
        <w:ind w:start="707" w:hanging="283"/>
        <w:rPr/>
      </w:pPr>
      <w:r>
        <w:rPr/>
        <w:t>Added hover text for</w:t>
      </w:r>
      <w:r>
        <w:rPr>
          <w:rStyle w:val="StrongEmphasis"/>
        </w:rPr>
        <w:t xml:space="preserve"> </w:t>
      </w:r>
      <w:r>
        <w:rPr/>
        <w:t xml:space="preserve">54.77 million sq. ft of completed projects comparing to help readers visualize </w:t>
      </w:r>
    </w:p>
    <w:p>
      <w:pPr>
        <w:pStyle w:val="TextBody"/>
        <w:numPr>
          <w:ilvl w:val="0"/>
          <w:numId w:val="1"/>
        </w:numPr>
        <w:tabs>
          <w:tab w:val="left" w:pos="0" w:leader="none"/>
        </w:tabs>
        <w:ind w:start="707" w:hanging="283"/>
        <w:rPr/>
      </w:pPr>
      <w:r>
        <w:rPr/>
        <w:t>Included additional points in the snapshot to capture the builder’s forte better </w:t>
      </w:r>
    </w:p>
    <w:p>
      <w:pPr>
        <w:pStyle w:val="TextBody"/>
        <w:rPr/>
      </w:pPr>
      <w:r>
        <w:rPr>
          <w:rStyle w:val="StrongEmphasis"/>
        </w:rPr>
        <w:t>Text:</w:t>
      </w:r>
    </w:p>
    <w:p>
      <w:pPr>
        <w:pStyle w:val="TextBody"/>
        <w:rPr/>
      </w:pPr>
      <w:r>
        <w:rPr>
          <w:rStyle w:val="StrongEmphasis"/>
        </w:rPr>
        <w:t xml:space="preserve">Snapshot </w:t>
      </w:r>
    </w:p>
    <w:p>
      <w:pPr>
        <w:pStyle w:val="TextBody"/>
        <w:rPr/>
      </w:pPr>
      <w:r>
        <w:rPr>
          <w:rStyle w:val="StrongEmphasis"/>
        </w:rPr>
        <w:t xml:space="preserve">Lodha Group </w:t>
      </w:r>
    </w:p>
    <w:p>
      <w:pPr>
        <w:pStyle w:val="TextBody"/>
        <w:numPr>
          <w:ilvl w:val="0"/>
          <w:numId w:val="2"/>
        </w:numPr>
        <w:tabs>
          <w:tab w:val="left" w:pos="0" w:leader="none"/>
        </w:tabs>
        <w:spacing w:before="0" w:after="0"/>
        <w:ind w:start="707" w:hanging="283"/>
        <w:rPr/>
      </w:pPr>
      <w:r>
        <w:rPr/>
        <w:t xml:space="preserve">39 years of experience </w:t>
      </w:r>
    </w:p>
    <w:p>
      <w:pPr>
        <w:pStyle w:val="TextBody"/>
        <w:numPr>
          <w:ilvl w:val="0"/>
          <w:numId w:val="2"/>
        </w:numPr>
        <w:tabs>
          <w:tab w:val="left" w:pos="0" w:leader="none"/>
        </w:tabs>
        <w:spacing w:before="0" w:after="0"/>
        <w:ind w:start="707" w:hanging="283"/>
        <w:rPr/>
      </w:pPr>
      <w:r>
        <w:rPr/>
        <w:t xml:space="preserve">37 ongoing projects </w:t>
      </w:r>
    </w:p>
    <w:p>
      <w:pPr>
        <w:pStyle w:val="TextBody"/>
        <w:numPr>
          <w:ilvl w:val="0"/>
          <w:numId w:val="2"/>
        </w:numPr>
        <w:tabs>
          <w:tab w:val="left" w:pos="0" w:leader="none"/>
        </w:tabs>
        <w:spacing w:before="0" w:after="0"/>
        <w:ind w:start="707" w:hanging="283"/>
        <w:rPr>
          <w:highlight w:val="yellow"/>
        </w:rPr>
      </w:pPr>
      <w:r>
        <w:rPr>
          <w:highlight w:val="yellow"/>
        </w:rPr>
        <w:t>Projects in London, Mumbai, Pune, Hyderabad and more</w:t>
      </w:r>
    </w:p>
    <w:p>
      <w:pPr>
        <w:pStyle w:val="TextBody"/>
        <w:numPr>
          <w:ilvl w:val="0"/>
          <w:numId w:val="2"/>
        </w:numPr>
        <w:tabs>
          <w:tab w:val="left" w:pos="0" w:leader="none"/>
        </w:tabs>
        <w:spacing w:before="0" w:after="0"/>
        <w:ind w:start="707" w:hanging="283"/>
        <w:rPr>
          <w:highlight w:val="yellow"/>
        </w:rPr>
      </w:pPr>
      <w:r>
        <w:rPr>
          <w:highlight w:val="yellow"/>
        </w:rPr>
        <w:t>Unparalleled residential, retail and office spaces</w:t>
      </w:r>
    </w:p>
    <w:p>
      <w:pPr>
        <w:pStyle w:val="TextBody"/>
        <w:numPr>
          <w:ilvl w:val="0"/>
          <w:numId w:val="2"/>
        </w:numPr>
        <w:tabs>
          <w:tab w:val="left" w:pos="0" w:leader="none"/>
        </w:tabs>
        <w:spacing w:before="0" w:after="0"/>
        <w:ind w:start="707" w:hanging="283"/>
        <w:rPr/>
      </w:pPr>
      <w:r>
        <w:rPr/>
        <w:t xml:space="preserve">54.77 million sq. ft of completed projects </w:t>
      </w:r>
      <w:r>
        <w:rPr>
          <w:highlight w:val="yellow"/>
        </w:rPr>
        <w:t>(It is wider than the area of 4,070 Olympic-sized swimming pools)</w:t>
      </w:r>
    </w:p>
    <w:p>
      <w:pPr>
        <w:pStyle w:val="TextBody"/>
        <w:numPr>
          <w:ilvl w:val="0"/>
          <w:numId w:val="2"/>
        </w:numPr>
        <w:tabs>
          <w:tab w:val="left" w:pos="0" w:leader="none"/>
        </w:tabs>
        <w:spacing w:before="0" w:after="0"/>
        <w:ind w:start="707" w:hanging="283"/>
        <w:rPr>
          <w:highlight w:val="yellow"/>
        </w:rPr>
      </w:pPr>
      <w:r>
        <w:rPr>
          <w:highlight w:val="yellow"/>
        </w:rPr>
        <w:t xml:space="preserve">4 out of 5 homes delivered before time </w:t>
      </w:r>
    </w:p>
    <w:p>
      <w:pPr>
        <w:pStyle w:val="TextBody"/>
        <w:numPr>
          <w:ilvl w:val="0"/>
          <w:numId w:val="2"/>
        </w:numPr>
        <w:tabs>
          <w:tab w:val="left" w:pos="0" w:leader="none"/>
        </w:tabs>
        <w:ind w:start="707" w:hanging="283"/>
        <w:rPr/>
      </w:pPr>
      <w:r>
        <w:rPr>
          <w:highlight w:val="yellow"/>
        </w:rPr>
        <w:t>Verified and trusted properties</w:t>
      </w:r>
      <w:r>
        <w:rPr/>
        <w:t xml:space="preserve"> </w:t>
      </w:r>
    </w:p>
    <w:p>
      <w:pPr>
        <w:pStyle w:val="TextBody"/>
        <w:rPr/>
      </w:pPr>
      <w:r>
        <w:rPr>
          <w:rStyle w:val="StrongEmphasis"/>
        </w:rPr>
        <w:t>Introduction/background</w:t>
      </w:r>
      <w:r>
        <w:rPr/>
        <w:t xml:space="preserve"> </w:t>
      </w:r>
    </w:p>
    <w:p>
      <w:pPr>
        <w:pStyle w:val="TextBody"/>
        <w:rPr/>
      </w:pPr>
      <w:r>
        <w:rPr/>
        <w:t xml:space="preserve">A real estate legacy spanning close to 4 decades, Lodha Group was established in 1980 and has since been one of the leading real estate developers in India. Lodha Group’s vision is ‘building a better life’. Their passion and expertise lie in building landmarks that meet global standards, and are the reason their projects are some of the finest in the country. World One, India’s tallest residential tower, and Palava City, an integrated smart city, are two of the several iconic landmarks to their name. </w:t>
      </w:r>
    </w:p>
    <w:p>
      <w:pPr>
        <w:pStyle w:val="TextBody"/>
        <w:rPr/>
      </w:pPr>
      <w:r>
        <w:rPr>
          <w:rStyle w:val="StrongEmphasis"/>
        </w:rPr>
        <w:t>Presence</w:t>
      </w:r>
      <w:r>
        <w:rPr/>
        <w:t xml:space="preserve"> </w:t>
      </w:r>
    </w:p>
    <w:p>
      <w:pPr>
        <w:pStyle w:val="TextBody"/>
        <w:rPr/>
      </w:pPr>
      <w:r>
        <w:rPr/>
        <w:t xml:space="preserve">Lodha Group’s dedication to create landmark developments isn’t limited by geography, markets, price points or consumer segments. They have been building the finest global partnerships and deploying their best people and processes to offer unparalleled residential, retail and office spaces to their customers, across the country as well as the globe. </w:t>
      </w:r>
    </w:p>
    <w:p>
      <w:pPr>
        <w:pStyle w:val="TextBody"/>
        <w:rPr/>
      </w:pPr>
      <w:r>
        <w:rPr/>
        <w:t xml:space="preserve">Lodha Group is currently developing an estimated 43 million sq. ft. of prime real estate. Lodha Group is a multinational corporation with ongoing projects in London, Mumbai, Pune and Hyderabad, and offices in New York, Dubai, Singapore and Shanghai. </w:t>
      </w:r>
    </w:p>
    <w:p>
      <w:pPr>
        <w:pStyle w:val="TextBody"/>
        <w:rPr/>
      </w:pPr>
      <w:r>
        <w:rPr>
          <w:rStyle w:val="StrongEmphasis"/>
        </w:rPr>
        <w:t xml:space="preserve">Track record </w:t>
      </w:r>
    </w:p>
    <w:p>
      <w:pPr>
        <w:pStyle w:val="TextBody"/>
        <w:rPr/>
      </w:pPr>
      <w:r>
        <w:rPr>
          <w:rStyle w:val="StrongEmphasis"/>
        </w:rPr>
        <w:t>4 out of 5 homes are delivered before time</w:t>
      </w:r>
      <w:r>
        <w:rPr/>
        <w:t xml:space="preserve"> </w:t>
      </w:r>
    </w:p>
    <w:p>
      <w:pPr>
        <w:pStyle w:val="TextBody"/>
        <w:rPr/>
      </w:pPr>
      <w:r>
        <w:rPr/>
        <w:t xml:space="preserve">When it comes to Lodha Group, on-time delivery isn’t an issue as the Group doesn’t strive for delivering on the promised date but rather well before it. In the last 2 years, the possession for about 80% of the units delivered was offered before arrangement due date. </w:t>
      </w:r>
    </w:p>
    <w:p>
      <w:pPr>
        <w:pStyle w:val="TextBody"/>
        <w:spacing w:before="0" w:after="283"/>
        <w:rPr/>
      </w:pPr>
      <w:r>
        <w:rPr>
          <w:rStyle w:val="StrongEmphasis"/>
          <w:highlight w:val="yellow"/>
        </w:rPr>
        <w:t>Projects by Lodha Group</w:t>
      </w:r>
      <w:r>
        <w:rPr/>
        <w:t xml:space="preserve"> </w:t>
      </w:r>
    </w:p>
    <w:sectPr>
      <w:type w:val="nextPage"/>
      <w:pgSz w:w="11906" w:h="16838"/>
      <w:pgMar w:left="1134"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horndale">
    <w:altName w:val="Times New Roman"/>
    <w:charset w:val="01" w:characterSet="utf-8"/>
    <w:family w:val="roman"/>
    <w:pitch w:val="variable"/>
  </w:font>
  <w:font w:name="OpenSymbol">
    <w:altName w:val="Arial Unicode MS"/>
    <w:charset w:val="02"/>
    <w:family w:val="auto"/>
    <w:pitch w:val="default"/>
  </w:font>
  <w:font w:name="Albany">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07"/>
        </w:tabs>
        <w:ind w:start="707" w:hanging="283"/>
      </w:pPr>
      <w:rPr/>
    </w:lvl>
    <w:lvl w:ilvl="1">
      <w:start w:val="1"/>
      <w:numFmt w:val="decimal"/>
      <w:lvlText w:val="%2."/>
      <w:lvlJc w:val="start"/>
      <w:pPr>
        <w:tabs>
          <w:tab w:val="num" w:pos="1414"/>
        </w:tabs>
        <w:ind w:start="1414" w:hanging="283"/>
      </w:pPr>
      <w:rPr/>
    </w:lvl>
    <w:lvl w:ilvl="2">
      <w:start w:val="1"/>
      <w:numFmt w:val="decimal"/>
      <w:lvlText w:val="%3."/>
      <w:lvlJc w:val="start"/>
      <w:pPr>
        <w:tabs>
          <w:tab w:val="num" w:pos="2121"/>
        </w:tabs>
        <w:ind w:start="2121" w:hanging="283"/>
      </w:pPr>
      <w:rPr/>
    </w:lvl>
    <w:lvl w:ilvl="3">
      <w:start w:val="1"/>
      <w:numFmt w:val="decimal"/>
      <w:lvlText w:val="%4."/>
      <w:lvlJc w:val="start"/>
      <w:pPr>
        <w:tabs>
          <w:tab w:val="num" w:pos="2828"/>
        </w:tabs>
        <w:ind w:start="2828" w:hanging="283"/>
      </w:pPr>
      <w:rPr/>
    </w:lvl>
    <w:lvl w:ilvl="4">
      <w:start w:val="1"/>
      <w:numFmt w:val="decimal"/>
      <w:lvlText w:val="%5."/>
      <w:lvlJc w:val="start"/>
      <w:pPr>
        <w:tabs>
          <w:tab w:val="num" w:pos="3535"/>
        </w:tabs>
        <w:ind w:start="3535" w:hanging="283"/>
      </w:pPr>
      <w:rPr/>
    </w:lvl>
    <w:lvl w:ilvl="5">
      <w:start w:val="1"/>
      <w:numFmt w:val="decimal"/>
      <w:lvlText w:val="%6."/>
      <w:lvlJc w:val="start"/>
      <w:pPr>
        <w:tabs>
          <w:tab w:val="num" w:pos="4242"/>
        </w:tabs>
        <w:ind w:start="4242" w:hanging="283"/>
      </w:pPr>
      <w:rPr/>
    </w:lvl>
    <w:lvl w:ilvl="6">
      <w:start w:val="1"/>
      <w:numFmt w:val="decimal"/>
      <w:lvlText w:val="%7."/>
      <w:lvlJc w:val="start"/>
      <w:pPr>
        <w:tabs>
          <w:tab w:val="num" w:pos="4949"/>
        </w:tabs>
        <w:ind w:start="4949" w:hanging="283"/>
      </w:pPr>
      <w:rPr/>
    </w:lvl>
    <w:lvl w:ilvl="7">
      <w:start w:val="1"/>
      <w:numFmt w:val="decimal"/>
      <w:lvlText w:val="%8."/>
      <w:lvlJc w:val="start"/>
      <w:pPr>
        <w:tabs>
          <w:tab w:val="num" w:pos="5656"/>
        </w:tabs>
        <w:ind w:start="5656" w:hanging="283"/>
      </w:pPr>
      <w:rPr/>
    </w:lvl>
    <w:lvl w:ilvl="8">
      <w:start w:val="1"/>
      <w:numFmt w:val="decimal"/>
      <w:lvlText w:val="%9."/>
      <w:lvlJc w:val="start"/>
      <w:pPr>
        <w:tabs>
          <w:tab w:val="num" w:pos="6363"/>
        </w:tabs>
        <w:ind w:start="6363" w:hanging="283"/>
      </w:pPr>
      <w:r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