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Long-Term Media Contribution Estimation: Framework Benchmarking Study</w:t>
      </w:r>
    </w:p>
    <w:p/>
    <w:p>
      <w:r>
        <w:rPr>
          <w:rFonts w:ascii="Times New Roman" w:hAnsi="Times New Roman"/>
          <w:b/>
          <w:sz w:val="24"/>
        </w:rPr>
        <w:t>Abstract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Marketing mix models routinely underestimate long-term media contributions (LTC) because estimation methods are designed for short-term elasticities, not sustained brand accumulation. This creates systematic budget misallocation, leaving 10-15% of true ROI unaccounted for in optimization. We benchmark ten LTC estimation methods across three frameworks (static adstock, dynamic lag, state-space) using synthetic data with ground-truth long-term effects, evaluating performance across five diagnostic scenarios from baseline to structural breaks. State-space methods with Bayesian latent stock estimation (BSTS, MCMC) recover 79.3% of true LTC on average across S1-S4, compared to 44.2% for dynamic models and 29.6% for static adstock. Critically, aggregate recovery metrics mask channel-level attribution failures: two models achieve 68.8% aggregate recovery while returning 0% recovery for individual channels, inverting budget allocation recommendations. We propose a three-tier robustness taxonomy based on scenario sensitivity and provide a decision framework for practitioners to select methods according to signal strength and spend pattern characteristics.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sz w:val="24"/>
        </w:rPr>
        <w:t>media mix modelling; long-term effects; latent stock models; adstock; state-space methods; attribution robustness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2. Introduction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Chief marketing officers allocate budgets across media channels using marketing mix models (MMMs) designed to estimate short-term elasticities. These methods often provide incomplete estimates of long-term value, overlooking sustained brand accumulation effects. For media channels like television and video, this oversight is substantial. Brands typically derive 10-15% of weekly sales from long-term media contributions, yet MMM estimates routinely fall by half of that true value, leading to systematic misallocation. This paper addresses: which estimation methods can reliably recover long-term media contributions, and when can practitioners trust their estimates?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The Identification Challenge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dominant MMM approach uses adstock transformations to capture both short-term and long-term effects. This framework succeeds when all channels are continuously active. However, it fails in two common scenarios: (1) when long-term effects persist after spend stops, adstock cannot separate persistence from zero spend; (2) under collinearity, when multiple channels move together, adstock cannot identify which channel generates long-term effects. These limitations have been documented in case studies, but no comprehensive quantification across methods and scenarios has been published.</w:t>
      </w:r>
    </w:p>
    <w:p>
      <w:r>
        <w:rPr>
          <w:rFonts w:ascii="Times New Roman" w:hAnsi="Times New Roman"/>
          <w:b/>
          <w:sz w:val="22"/>
        </w:rPr>
        <w:t>Contributions of This Paper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paper provides: (1) Synthetic benchmarking framework with known ground truth across 10 methods and 3 frameworks with full replication code and data. (2) Empirical evidence that aggregate recovery masks channel-level failures: a method achieving 68.8% aggregate recovery may return 0% for individual channels. (3) A three-tier robustness taxonomy based on pause-window robustness ratios. (4) A practitioner decision framework for method selection based on signal strength and spend pattern characteristics.</w:t>
      </w:r>
    </w:p>
    <w:p/>
    <w:p>
      <w:r>
        <w:rPr>
          <w:rFonts w:ascii="Times New Roman" w:hAnsi="Times New Roman"/>
          <w:b/>
          <w:i/>
          <w:sz w:val="22"/>
        </w:rPr>
        <w:t>AI Disclosure Statement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manuscript was prepared with assistance from Claude AI (Anthropic) for: document formatting and structure, cross-referencing figure placements, and verification of citation accuracy against primary sources. All research methodology, experimental design, data synthesis, results, analysis, and conclusions are original and human-authored. No AI tools were used to generate research methodology, statistical analysis, results, or interpretations. AI assistance was limited to technical document preparation as permitted under Sage publishing AI disclosure guidelines.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3. Methodology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Ground truth is unavailable in real marketing mix modeling data. We resolve this by generating synthetic data with an explicitly specified, known ground-truth data-generating process. Net Sales[t] = Baseline[t] + STC + LTC + Exogenous + Noise. Baseline is piecewise trend plus seasonality plus holidays (~$10-12M per week). Short-Term Contribution (STC) is geometric adstock on impressions totaling ~$1.58M per week (~15% of observed sales). Long-Term Contribution (LTC) is latent brand stock that accumulates via spend and decays at channel-specific rates, totaling ~$1.23M per week (~12% of sales), with TV and Video constituting 77% of long-term value.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Five Diagnostic Scenarios. </w:t>
      </w:r>
      <w:r>
        <w:rPr>
          <w:rFonts w:ascii="Times New Roman" w:hAnsi="Times New Roman"/>
          <w:sz w:val="24"/>
        </w:rPr>
        <w:t>S1 (Baseline): Low collinearity, all channels active - tests performance ceiling. S2 (Spend Pause): TV and Video = $0 for weeks 104-112 - tests latent stock persistence. S3 (Seasonality): 85% seasonal intensity - tests collinearity handling. S4 (Structural Break): 30% permanent budget reduction at week 180 - tests regime adaptation. S5 (Weak Signal): LTC scaled to 0.35x - tests identifiability at signal boundary.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Frameworks Evaluated. </w:t>
      </w:r>
      <w:r>
        <w:rPr>
          <w:rFonts w:ascii="Times New Roman" w:hAnsi="Times New Roman"/>
          <w:sz w:val="24"/>
        </w:rPr>
        <w:t>Framework 1 (Static Adstock): 4 models - geometric, Weibull, Almon PDL, dual adstock. Framework 2 (Dynamic Time-Series): 3 models - Koyck, ARDL, finite distributed lag. Framework 3 (State-Space): 3 models - Kalman DLM, MCMC latent stock, BSTS. All decay parameters fixed to true values to isolate structural framework differences from calibration effects.</w:t>
      </w:r>
    </w:p>
    <w:p>
      <w:r>
        <w:rPr>
          <w:rFonts w:ascii="Times New Roman" w:hAnsi="Times New Roman"/>
          <w:b/>
          <w:sz w:val="22"/>
        </w:rPr>
        <w:t>Evaluation Metrics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Recovery Accuracy = (1 - MAPE_LTC / 100) x 100%, where MAPE is mean absolute percentage error on LTC estimates across 261 weeks. Pause-Window Robustness Ratio = MAPE_pause_window / MAPE_full_series. Values near 1.0 indicate robustness; &gt;1.35 indicates fragility. Channel-Level Attribution = per-channel recovery to detect offsetting errors in aggregate metrics.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4. Results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State-space methods recover 79.3% of true LTC on average across S1-S4, compared to 44.2% for dynamic methods and 29.6% for static adstock. This three-way hierarchy holds across all models and is consistent across scenarios, establishing that framework architecture determines success or failure.</w:t>
      </w:r>
    </w:p>
    <w:p/>
    <w:p>
      <w:r>
        <w:rPr>
          <w:rFonts w:ascii="Times New Roman" w:hAnsi="Times New Roman"/>
          <w:b/>
          <w:sz w:val="22"/>
        </w:rPr>
        <w:t>Table 3. Full Recovery Matrix - All Models, All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Rank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Framework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Avg(S1-S4)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bsts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82.4%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76.8%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81.5%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80.5%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kalman_dlm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82.0%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83.1%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64.9%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75.4%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76.4%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mcmc_stock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72.6%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60.9%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98.9%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91.8%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81.0%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geo_adstock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69.9%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83.1%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43.2%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63.4%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64.9%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finite_dl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54.6%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58.0%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40.5%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koyck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43.0%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52.3%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almon_pdl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42.6%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18.7%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40.6%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68.6%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32.6%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weibull_adstock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11.9%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31.7%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ardl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68.8%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63.3%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33.0%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dual_adstock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/>
    <w:p>
      <w:r>
        <w:rPr>
          <w:rFonts w:ascii="Times New Roman" w:hAnsi="Times New Roman"/>
          <w:b/>
          <w:sz w:val="20"/>
        </w:rPr>
        <w:t xml:space="preserve">Note. </w:t>
      </w:r>
      <w:r>
        <w:rPr>
          <w:rFonts w:ascii="Times New Roman" w:hAnsi="Times New Roman"/>
          <w:sz w:val="20"/>
        </w:rPr>
        <w:t>S1-S4 average excludes S5 (all models collapse under weak signal with frozen parameters). Recovery accuracy is floored at 0% per definition max(0, 100 - MAPE). BSTS 1.02x pause-window ratio is the paper centrepiece.</w:t>
      </w:r>
    </w:p>
    <w:p/>
    <w:p>
      <w:r>
        <w:rPr>
          <w:rFonts w:ascii="Times New Roman" w:hAnsi="Times New Roman"/>
          <w:b/>
          <w:sz w:val="22"/>
        </w:rPr>
        <w:t>State-Space Dominance (F3)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Within state-space, BSTS achieves 82.4% recovery (17.6% MAPE), marginally exceeding Kalman DLM at 82.0% recovery (18.0% MAPE). Both correctly decompose baseline trend and latent brand stock. MCMC latent stock achieves 72.6% recovery. All three state-space methods show excellent MCMC convergence (R-hat &lt; 1.05 across all 19 parameters in S1).</w:t>
      </w:r>
    </w:p>
    <w:p>
      <w:r>
        <w:rPr>
          <w:rFonts w:ascii="Times New Roman" w:hAnsi="Times New Roman"/>
          <w:b/>
          <w:sz w:val="22"/>
        </w:rPr>
        <w:t>Dynamic Time-Series Mid-Tier Performance (F2)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Finite distributed lag recovers 50.3%; Koyck recovers 46.4%. Both use autoregressive structure to capture sales momentum but cannot fully separate fast STC decay from slow LTC accumulation. ARDL performs catastrophically: 0.0% recovery with 316.8% MAPE. This S1 failure is structural. The model's autoregressive specification overfits to sales momentum in smooth baseline scenarios, leaving insufficient degrees of freedom to identify true LTC dynamics.</w:t>
      </w:r>
    </w:p>
    <w:p>
      <w:r>
        <w:rPr>
          <w:rFonts w:ascii="Times New Roman" w:hAnsi="Times New Roman"/>
          <w:b/>
          <w:sz w:val="22"/>
        </w:rPr>
        <w:t>Static Adstock Weak Performance (F1)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Geometric adstock achieves 69.9% recovery but is 12 percentage points below Kalman DLM. Almon polynomial distributed lag recovers 42.6%. Weibull adstock achieves only 11.9% recovery: the Weibull CDF cannot simultaneously fit short-tail STC and long-tail LTC effects. Dual adstock recovers 0.0% with 789.9% MAPE, failing due to parameter constraint incompatibility.</w:t>
      </w:r>
    </w:p>
    <w:p>
      <w:r>
        <w:rPr>
          <w:rFonts w:ascii="Times New Roman" w:hAnsi="Times New Roman"/>
          <w:b/>
          <w:sz w:val="22"/>
        </w:rPr>
        <w:t>Scenario Robustness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BSTS maintains 1.023x pause-window ratio, the lowest across all models. This near-invariant error distribution across spend pauses (weeks 100-120) is a hallmark of structural robustness. ARDL increases from 0% S1 recovery to 68.8% S2, proving S1 failure was prior misspecification, not structural flaw. However, channel-level analysis reveals critical limitation: 68.8% aggregate recovery masks 0% per-channel recovery for all five channels - offsetting errors sum to apparent success. Practitioners using ARDL for channel-level budget allocation would receive no directional guidance. Almon PDL collapses (-23.9pp, S1 42.6% to S2 18.7%) because polynomial lag weights cannot capture exponential decay across sharp discontinuity.</w:t>
      </w:r>
    </w:p>
    <w:p>
      <w:r>
        <w:rPr>
          <w:rFonts w:ascii="Times New Roman" w:hAnsi="Times New Roman"/>
          <w:b/>
          <w:sz w:val="22"/>
        </w:rPr>
        <w:t>Interpretation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baseline scenario reveals clear separation. State-space models exploit explicit latent brand dynamics to recover true LTC (average 79.0%). Dynamic distributed lag models partially capture LTC through autoregressive terms but remain fundamentally limited (average 32.2%). Static adstock models achieve lowest recovery due to rigid single-decay assumption (average 31.1%). Two models fail completely (ARDL S1, dual adstock), indicating architectural pathologies. Framework architecture determines outcome; calibration alone cannot overcome structural limitations.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5. Discussion &amp; Implications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empirical findings establish a clear hierarchy: state-space methods recover 79.3% of true LTC on average across S1-S4; dynamic distributed-lag methods achieve 44.2%; static adstock methods achieve 29.6%. This section interprets the mechanisms and derives actionable guidance for practitioners.</w:t>
      </w:r>
    </w:p>
    <w:p>
      <w:r>
        <w:rPr>
          <w:rFonts w:ascii="Times New Roman" w:hAnsi="Times New Roman"/>
          <w:b/>
          <w:sz w:val="22"/>
        </w:rPr>
        <w:t>The Robustness Spectrum: A Three-Tier Taxonomy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We classify methods by pause-window robustness ratio (pause-MAPE / full-series MAPE). Tier 1 (&lt; 1.10x): Architecturally robust. BSTS (1.02x) and deterministic state-space methods maintain consistent error across spend variations. Tier 2 (1.10-1.35x): Identification-sensitive. MCMC (1.31x), almon_pdl (1.28x), ardl (1.25x) show moderate fragility. MCMC's degradation in S2 (72.6% to 60.9%) but excellence in S3 (98.9%) reveals Bayesian flexibility: posteriors adapt to scenario signal when present but over-constrain under disruption. Tier 3 (&gt; 1.35x): Data-dependent. Kalman DLM (1.40x), geo_adstock (1.40x), weibull_adstock (1.53x) show high fragility. Kalman DLM's degradation in S3 (82.0% to 64.9%) reveals missing seasonal state. This taxonomy reveals that framework architecture, not calibration, determines robustness.</w:t>
      </w:r>
    </w:p>
    <w:p>
      <w:r>
        <w:rPr>
          <w:rFonts w:ascii="Times New Roman" w:hAnsi="Times New Roman"/>
          <w:b/>
          <w:sz w:val="22"/>
        </w:rPr>
        <w:t>Channel Attribution Problem: Aggregate Metrics Insufficient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A critical finding cuts across frameworks: aggregate LTC recovery can mask severe channel-level misattribution. ARDL achieves 68.8% aggregate recovery but returns 0% recovery for Video LTC (true Video is ~$0.30M per week). Koyck inverts rankings, placing Paid Social at 59.3% and TV at 2.2% (opposite of ground truth: TV dominance). Channel-level validation is mandatory. Before deploying a framework, validate per-channel recovery across at least one structural-break scenario. Models preserving channel rankings under stress are more trustworthy for budget allocation.</w:t>
      </w:r>
    </w:p>
    <w:p>
      <w:r>
        <w:rPr>
          <w:rFonts w:ascii="Times New Roman" w:hAnsi="Times New Roman"/>
          <w:b/>
          <w:sz w:val="22"/>
        </w:rPr>
        <w:t>Practitioner Decision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Condition</w:t>
            </w:r>
          </w:p>
        </w:tc>
        <w:tc>
          <w:tcPr>
            <w:tcW w:type="dxa" w:w="3120"/>
          </w:tcPr>
          <w:p>
            <w:r>
              <w:t>Recommended Method</w:t>
            </w:r>
          </w:p>
        </w:tc>
        <w:tc>
          <w:tcPr>
            <w:tcW w:type="dxa" w:w="3120"/>
          </w:tcPr>
          <w:p>
            <w:r>
              <w:t>Rationale</w:t>
            </w:r>
          </w:p>
        </w:tc>
      </w:tr>
      <w:tr>
        <w:tc>
          <w:tcPr>
            <w:tcW w:type="dxa" w:w="3120"/>
          </w:tcPr>
          <w:p>
            <w:r>
              <w:t>Strong signal, stability priority</w:t>
            </w:r>
          </w:p>
        </w:tc>
        <w:tc>
          <w:tcPr>
            <w:tcW w:type="dxa" w:w="3120"/>
          </w:tcPr>
          <w:p>
            <w:r>
              <w:t>BSTS</w:t>
            </w:r>
          </w:p>
        </w:tc>
        <w:tc>
          <w:tcPr>
            <w:tcW w:type="dxa" w:w="3120"/>
          </w:tcPr>
          <w:p>
            <w:r>
              <w:t>Lowest variance (1.02x ratio) across scenarios</w:t>
            </w:r>
          </w:p>
        </w:tc>
      </w:tr>
      <w:tr>
        <w:tc>
          <w:tcPr>
            <w:tcW w:type="dxa" w:w="3120"/>
          </w:tcPr>
          <w:p>
            <w:r>
              <w:t>Strong signal, accuracy priority</w:t>
            </w:r>
          </w:p>
        </w:tc>
        <w:tc>
          <w:tcPr>
            <w:tcW w:type="dxa" w:w="3120"/>
          </w:tcPr>
          <w:p>
            <w:r>
              <w:t>MCMC</w:t>
            </w:r>
          </w:p>
        </w:tc>
        <w:tc>
          <w:tcPr>
            <w:tcW w:type="dxa" w:w="3120"/>
          </w:tcPr>
          <w:p>
            <w:r>
              <w:t>81.0% average recovery; correct channel ranking</w:t>
            </w:r>
          </w:p>
        </w:tc>
      </w:tr>
      <w:tr>
        <w:tc>
          <w:tcPr>
            <w:tcW w:type="dxa" w:w="3120"/>
          </w:tcPr>
          <w:p>
            <w:r>
              <w:t>Weak signal (LTC &lt; 5% sales)</w:t>
            </w:r>
          </w:p>
        </w:tc>
        <w:tc>
          <w:tcPr>
            <w:tcW w:type="dxa" w:w="3120"/>
          </w:tcPr>
          <w:p>
            <w:r>
              <w:t>MCMC + scenario priors</w:t>
            </w:r>
          </w:p>
        </w:tc>
        <w:tc>
          <w:tcPr>
            <w:tcW w:type="dxa" w:w="3120"/>
          </w:tcPr>
          <w:p>
            <w:r>
              <w:t>Only method recovering &gt; 80% in S5 (88.5%)</w:t>
            </w:r>
          </w:p>
        </w:tc>
      </w:tr>
      <w:tr>
        <w:tc>
          <w:tcPr>
            <w:tcW w:type="dxa" w:w="3120"/>
          </w:tcPr>
          <w:p>
            <w:r>
              <w:t>Do NOT use</w:t>
            </w:r>
          </w:p>
        </w:tc>
        <w:tc>
          <w:tcPr>
            <w:tcW w:type="dxa" w:w="3120"/>
          </w:tcPr>
          <w:p>
            <w:r>
              <w:t>ARDL, Dual adstock</w:t>
            </w:r>
          </w:p>
        </w:tc>
        <w:tc>
          <w:tcPr>
            <w:tcW w:type="dxa" w:w="3120"/>
          </w:tcPr>
          <w:p>
            <w:r>
              <w:t>Sign-flip risk; channel misattribution (0% per-channel)</w:t>
            </w:r>
          </w:p>
        </w:tc>
      </w:tr>
    </w:tbl>
    <w:p>
      <w:r>
        <w:rPr>
          <w:rFonts w:ascii="Times New Roman" w:hAnsi="Times New Roman"/>
          <w:b/>
          <w:sz w:val="22"/>
        </w:rPr>
        <w:t>Limitations and Future Work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work uses synthetic data, limiting claims about real-world performance. Weekly aggregation may mask daily effects. The five scenarios cover known challenges but do not exhaust real-world complexity (e.g., competitive response, interactions). Real-data validation is essential before deployment. Future work should characterize speed-accuracy trade-offs as scale increases and test cross-channel stock interactions.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References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Broadbent, S. (1979). One way TV advertisements work. Journal of the Market Research Society, 21(3), 139-166.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Clarke, D. G. (1976). Econometric measurement of the duration of advertising effect on sales. Journal of Marketing Research, 13(4), 345-357.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Dekimpe, M. G., &amp; Hanssens, D. M. (2000). Time-series models in marketing: Past, present and future. International Journal of Research in Marketing, 17(2-3), 183-193.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Datta, H., Ailawadi, K. L., &amp; van Heerde, H. J. (2017). How well does consumer-based brand equity align with sales-based brand equity and marketing-mix response? Journal of Marketing, 81(3), 1-20. https://doi.org/10.1509/jm.15.0340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Durbin, J., &amp; Koopman, S. J. (2012). Time series analysis by state space methods (2nd ed.). Oxford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Hanssens, D. M., Parsons, L. J., &amp; Schultz, R. L. (1990). Approaches to empirical econometrics: Economic time series analysis and dynamic econometric models. Cambridge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Hanssens, D. M., Parsons, L. J., &amp; Schultz, R. L. (2001). Market response models: Econometric and time series analysis. Kluwer Academic Publishers.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Harvey, A. C. (1989). Forecasting, structural time series models and the Kalman filter. Cambridge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Jin, Y., Wang, Y., Sun, Y., Chan, D., &amp; Koehler, J. (2017). Bayesian methods for media mix modeling with carryover and shape effects. Google Research Technical Report.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Keller, K. L. (1993). Conceptualizing, measuring, and managing customer-based brand equity. Journal of Marketing, 57(1), 1-22.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Koyck, L. M. (1954). Distributed lags and investment analysis. North-Holland.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Meta Marketing Science. (2022-2023). Robyn: Open-source Bayesian marketing mix modeling [Software]. Retrieved from https://github.com/facebook/Robyn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Srinivasan, S., &amp; Hanssens, D. M. (2009). Marketing and firm value: Metrics, methods, findings, and future directions. Journal of Marketing Research, 46(3), 293-312.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Vaver, J., &amp; Koehler, J. (2011). Measuring ad effectiveness using geo experiments. Google Research Technical Report.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6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Robustness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1: Robustness Spectrum.</w:t>
      </w:r>
      <w:r>
        <w:rPr>
          <w:rFonts w:ascii="Times New Roman" w:hAnsi="Times New Roman"/>
          <w:i/>
          <w:sz w:val="22"/>
        </w:rPr>
        <w:t xml:space="preserve"> Horizontal bar chart ranking all ten models by pause-window robustness ratio, from most robust (BSTS 1.02x) to most fragile (weibull_adstock 1.53x). Vertical dotted lines mark architectural tier boundaries (1.10x and 1.35x). Framework 3 models dominate Tier 1; Framework 1 models concentrate in Tier 3.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43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Cross_Scenario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4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2: Cross-Scenario Recovery Heatmap.</w:t>
      </w:r>
      <w:r>
        <w:rPr>
          <w:rFonts w:ascii="Times New Roman" w:hAnsi="Times New Roman"/>
          <w:i/>
          <w:sz w:val="22"/>
        </w:rPr>
        <w:t xml:space="preserve"> Ten models (rows) evaluated across five scenarios (S1-S5 columns) with LTC recovery accuracy encoded as color gradient (red 0% to green 100%). BSTS and Kalman DLM maintain consistent high recovery (76-82%) across S1-S4, while ARDL shows catastrophic S1 failure (0%) then S2 recovery (68.8%).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6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S2_Pause_Window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3: S2 Spend Pause Improvement Ranges.</w:t>
      </w:r>
      <w:r>
        <w:rPr>
          <w:rFonts w:ascii="Times New Roman" w:hAnsi="Times New Roman"/>
          <w:i/>
          <w:sz w:val="22"/>
        </w:rPr>
        <w:t xml:space="preserve"> Spend discontinuity (zero spend weeks 104-112) induces divergent model responses: ARDL improves +68.8pp (from 0% to 68.8%), geo_adstock improves +13.2pp, while almon_pdl degrades -23.9pp. Framework 3 models show minimal variation (±1.4pp), demonstrating architectural robustness to structural breaks.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28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Channel_Attribution_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4: S2 Channel Validation by Model.</w:t>
      </w:r>
      <w:r>
        <w:rPr>
          <w:rFonts w:ascii="Times New Roman" w:hAnsi="Times New Roman"/>
          <w:i/>
          <w:sz w:val="22"/>
        </w:rPr>
        <w:t xml:space="preserve"> Sorted bar chart showing six representative models' aggregate S2 recovery accuracy: Kalman DLM (83.1%), geo_adstock (83.1%), BSTS (81.0%), ARDL (68.8%), MCMC (59.9%), finite_dl (54.6%). Illustrates how aggregate metrics mask channel-level misattribution (ARDL recovers 0% of Video LTC despite 68.8% aggregate recovery).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905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Framework_Hierarc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5: Framework Hierarchy - Distribution by Class.</w:t>
      </w:r>
      <w:r>
        <w:rPr>
          <w:rFonts w:ascii="Times New Roman" w:hAnsi="Times New Roman"/>
          <w:i/>
          <w:sz w:val="22"/>
        </w:rPr>
        <w:t xml:space="preserve"> Boxplot showing baseline (S1) recovery accuracy distributions for three framework classes. Framework 3 dominates with median 82% [IQR 72-82%], showing BSTS and Kalman DLM outperforming Framework 2 (median 48%) and Framework 1 (median 40%). Framework 3 median exceeds all Framework 2 and F1 models except geo_adstock (69.9%).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2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Calibration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6: Calibration Sensitivity by Model.</w:t>
      </w:r>
      <w:r>
        <w:rPr>
          <w:rFonts w:ascii="Times New Roman" w:hAnsi="Times New Roman"/>
          <w:i/>
          <w:sz w:val="22"/>
        </w:rPr>
        <w:t xml:space="preserve"> Paired bar chart comparing frozen (grid-search initialized) vs. optimized (scenario-specific calibration) recovery reveals calibration-structure trade-off. Framework 3 models show minimal improvement (BSTS +1.7pp, Kalman +2.3pp, MCMC +2.6pp) indicating structural dominance. Framework 1 shows highly variable response.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36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Pause_Window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8: S3 High Seasonality Model Performance.</w:t>
      </w:r>
      <w:r>
        <w:rPr>
          <w:rFonts w:ascii="Times New Roman" w:hAnsi="Times New Roman"/>
          <w:i/>
          <w:sz w:val="22"/>
        </w:rPr>
        <w:t xml:space="preserve"> Scenario 3 (high seasonality, 85% intensity) shows MCMC achieving exceptional recovery (99.0%, leveraging Bayesian flexibility), followed by BSTS (76.8%), Kalman DLM (64.9%, degraded from S1 due to lack of explicit seasonal state), ARDL (63.3%). MCMC's S3 uniqueness demonstrates Bayesian advantage for seasonal confounding.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88454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_Channel_Level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84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9: S4 Structural Break Regime Change Sensitivity.</w:t>
      </w:r>
      <w:r>
        <w:rPr>
          <w:rFonts w:ascii="Times New Roman" w:hAnsi="Times New Roman"/>
          <w:i/>
          <w:sz w:val="22"/>
        </w:rPr>
        <w:t xml:space="preserve"> Scenario 4 applies permanent budget reallocation (continuous regime shift) to frozen S1 parameters, revealing model brittleness. MCMC achieves highest recovery (90.9%), BSTS (81.6%), Kalman DLM (75.4%), but ARDL fails catastrophically (-19.8%, structural-break-induced sign-flip). Framework 3 shows bounded degradation (±9pp); Framework 1/2 show unbounded failure.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530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Video_LTC_Signal_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5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10: S5 Weak Signal Identification Boundary.</w:t>
      </w:r>
      <w:r>
        <w:rPr>
          <w:rFonts w:ascii="Times New Roman" w:hAnsi="Times New Roman"/>
          <w:i/>
          <w:sz w:val="22"/>
        </w:rPr>
        <w:t xml:space="preserve"> Scenario 5 (weak signal: low spend variance, high noise) causes complete identification failure for all models with frozen parameters (0% recovery), but MCMC recovers 88.5% when scenario-specific logit-normal priors are applied. All other models remain at 0% recovery regardless of prior adjustment.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902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MCMC_Conver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11: MCMC Convergence Quality (R-hat) Across Scenarios.</w:t>
      </w:r>
      <w:r>
        <w:rPr>
          <w:rFonts w:ascii="Times New Roman" w:hAnsi="Times New Roman"/>
          <w:i/>
          <w:sz w:val="22"/>
        </w:rPr>
        <w:t xml:space="preserve"> After tuning adjustment (target_accept: 0.95→0.99, tune: 1000→1500 steps), all five scenarios show excellent MCMC convergence with maximum R-hat well below 1.05 threshold. S1: 1.020, S2: 1.010, S3: 1.030, S4: 1.010, S5: 1.040. Initial S1 divergence count (23) dropped to 0 after tuning.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62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2_Budget_Allocation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12: Budget Allocation Error Magnitude.</w:t>
      </w:r>
      <w:r>
        <w:rPr>
          <w:rFonts w:ascii="Times New Roman" w:hAnsi="Times New Roman"/>
          <w:i/>
          <w:sz w:val="22"/>
        </w:rPr>
        <w:t xml:space="preserve"> Horizontal bar chart showing allocation error (100% - recovery%) for all ten models sorted worst-to-best. Dual_adstock and ARDL show catastrophic errors (100.0%), weibull_adstock (89.5%), almon_pdl (57.4%), koyck (53.6%), finite_dl (49.7%), geo_adstock (30.1%), mcmc_stock (27.4%), kalman_dlm (18.0%), and BSTS (17.6% minimum).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49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3_Robustness_Taxonom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13: Robustness Taxonomy (Tier Classification).</w:t>
      </w:r>
      <w:r>
        <w:rPr>
          <w:rFonts w:ascii="Times New Roman" w:hAnsi="Times New Roman"/>
          <w:i/>
          <w:sz w:val="22"/>
        </w:rPr>
        <w:t xml:space="preserve"> Two-dimensional scatter plot positioning all ten models by pause-window robustness ratio (x-axis, 1.0-1.5x) and S1 recovery accuracy (y-axis, 0-100%), with tier zones marked by vertical lines at 1.10x (Tier 1 boundary) and 1.35x (Tier 2 boundary). Tier classification reveals framework architecture determines robustness, not average recovery alone.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9019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_Ranking_Revers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A: Ranking Reversals: Framework Stability Across Scenarios.</w:t>
      </w:r>
      <w:r>
        <w:rPr>
          <w:rFonts w:ascii="Times New Roman" w:hAnsi="Times New Roman"/>
          <w:i/>
          <w:sz w:val="22"/>
        </w:rPr>
        <w:t xml:space="preserve"> Line chart showing framework-level average recovery by scenario (S1-S5) reveals stability hierarchy. Framework 3 maintains 75-82% recovery through S1-S4 before degradation at S5 (32%, weak signal failure). Framework 2 peaks at S2 then declines; Framework 1 declines monotonically. Reversals demonstrate framework selection determines performance hierarchy across business conditions.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030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B_Scenario_Characterist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B: Scenario Characteristics (Intensity 0-100%).</w:t>
      </w:r>
      <w:r>
        <w:rPr>
          <w:rFonts w:ascii="Times New Roman" w:hAnsi="Times New Roman"/>
          <w:i/>
          <w:sz w:val="22"/>
        </w:rPr>
        <w:t xml:space="preserve"> Three-by-five heatmap showing diagnostic intensity of collinearity, discontinuity, and seasonality across five scenarios. S1 shows low intensity; S2 shows high discontinuity (90%); S3 shows high collinearity (80%) and seasonality (85%); S4 shows high collinearity (50%) and discontinuity (85%); S5 shows low intensity. Reveals scenarios test complementary model weaknesses.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23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_Framework_Comparison_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/>
          <w:sz w:val="22"/>
        </w:rPr>
        <w:t>Figure C: Framework Comparison Matrix (Score 0-100).</w:t>
      </w:r>
      <w:r>
        <w:rPr>
          <w:rFonts w:ascii="Times New Roman" w:hAnsi="Times New Roman"/>
          <w:i/>
          <w:sz w:val="22"/>
        </w:rPr>
        <w:t xml:space="preserve"> Three-by-five heatmap comparing Framework 1, 2, and 3 across five performance dimensions (Baseline, Robustness, Calibration, Channels, Production). Framework 1 scores 20-35 (red); Framework 2 scores 32-48 (orange/yellow); Framework 3 dominates all dimensions 72-92 (green). Framework 3 achieves highest average (79.6) and lowest variance (±8.1pp), establishing state-space as standard for LTC estimation.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