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4"/>
        </w:rPr>
        <w:t>Long-Term Media Contribution Estimation: Framework Benchmarking Study</w:t>
      </w:r>
    </w:p>
    <w:p/>
    <w:p>
      <w:r>
        <w:rPr>
          <w:rFonts w:ascii="Times New Roman" w:hAnsi="Times New Roman"/>
          <w:b/>
          <w:sz w:val="24"/>
        </w:rPr>
        <w:t>Abstract</w:t>
      </w:r>
    </w:p>
    <w:p>
      <w:pPr>
        <w:spacing w:line="480" w:lineRule="auto"/>
      </w:pPr>
      <w:r>
        <w:rPr>
          <w:rFonts w:ascii="Times New Roman" w:hAnsi="Times New Roman"/>
          <w:sz w:val="24"/>
        </w:rPr>
        <w:t>Marketing mix models routinely underestimate long-term media contributions (LTC) because estimation methods are designed for short-term elasticities, not sustained brand accumulation. This creates systematic budget misallocation, leaving 10-15% of true ROI unaccounted for in optimization. We benchmark ten LTC estimation methods across three frameworks (static adstock, dynamic lag, state-space) using synthetic data with ground-truth long-term effects, evaluating performance across five diagnostic scenarios from baseline to structural breaks. State-space methods with Bayesian latent stock estimation (BSTS, MCMC) recover 79.3% of true LTC on average across S1-S4, compared to 44.2% for dynamic models and 29.6% for static adstock. Critically, aggregate recovery metrics mask channel-level attribution failures: two models achieve 68.8% aggregate recovery while returning 0% recovery for individual channels, inverting budget allocation recommendations. We propose a three-tier robustness taxonomy based on scenario sensitivity and provide a decision framework for practitioners to select methods according to signal strength and spend pattern characteristics.</w:t>
      </w:r>
    </w:p>
    <w:p>
      <w:pPr>
        <w:spacing w:line="480" w:lineRule="auto"/>
      </w:pPr>
      <w:r>
        <w:rPr>
          <w:rFonts w:ascii="Times New Roman" w:hAnsi="Times New Roman"/>
          <w:b/>
          <w:sz w:val="24"/>
        </w:rPr>
        <w:t xml:space="preserve">Keywords: </w:t>
      </w:r>
      <w:r>
        <w:rPr>
          <w:rFonts w:ascii="Times New Roman" w:hAnsi="Times New Roman"/>
          <w:sz w:val="24"/>
        </w:rPr>
        <w:t>media mix modelling; long-term effects; latent stock models; adstock; state-space methods; attribution robustness</w:t>
      </w:r>
    </w:p>
    <w:p>
      <w:r>
        <w:br w:type="page"/>
      </w:r>
    </w:p>
    <w:p>
      <w:pPr>
        <w:spacing w:line="480" w:lineRule="auto"/>
      </w:pPr>
      <w:r>
        <w:rPr>
          <w:rFonts w:ascii="Times New Roman" w:hAnsi="Times New Roman"/>
          <w:b/>
          <w:sz w:val="24"/>
        </w:rPr>
        <w:t>2. Introduction</w:t>
      </w:r>
    </w:p>
    <w:p>
      <w:pPr>
        <w:spacing w:line="480" w:lineRule="auto"/>
      </w:pPr>
      <w:r>
        <w:rPr>
          <w:rFonts w:ascii="Times New Roman" w:hAnsi="Times New Roman"/>
          <w:sz w:val="24"/>
        </w:rPr>
        <w:t>Chief marketing officers allocate budgets across media channels using marketing mix models (MMMs) designed to estimate short-term elasticities - the immediate sales lift from a single exposure. These methods often provide incomplete estimates of long-term value, overlooking sustained brand accumulation effects that persist weeks or months after the initial advertising exposure. For media channels like television and video, where brand-building is a core function, this oversight is substantial. Brands typically derive 10-15% of weekly sales from long-term media contributions, yet MMM estimates of long-term contributions routinely fall by half of that true value, leading to systematic misallocation of budgets toward short-term performance channels like search. This paper addresses a fundamental question: which estimation methods can reliably recover long-term media contributions, and when can practitioners trust their estimates?</w:t>
      </w:r>
    </w:p>
    <w:p>
      <w:r>
        <w:rPr>
          <w:rFonts w:ascii="Times New Roman" w:hAnsi="Times New Roman"/>
          <w:b/>
          <w:sz w:val="22"/>
        </w:rPr>
        <w:t>The Identification Challenge in Current Practice</w:t>
      </w:r>
    </w:p>
    <w:p>
      <w:pPr>
        <w:spacing w:line="480" w:lineRule="auto"/>
      </w:pPr>
      <w:r>
        <w:rPr>
          <w:rFonts w:ascii="Times New Roman" w:hAnsi="Times New Roman"/>
          <w:sz w:val="24"/>
        </w:rPr>
        <w:t>The dominant approach to MMM uses adstock transformations - geometric or polynomial decay functions applied to historical spend series - to capture both short-term and long-term effects in a single coefficient. This framework succeeds when all channels are continuously active. However, adstock methods fail fundamentally in two scenarios that are common in practice. First, when long-term effects persist after spend stops, adstock cannot separate persistence from zero spend. Second, under collinearity, when multiple channels move together, adstock has insufficient statistical variation to identify which channel generates long-term effects, leading to reversals where methods flip signs. These identification limitations have been documented in individual case studies, but no comprehensive quantification across methods and diagnostic scenarios has been published.</w:t>
      </w:r>
    </w:p>
    <w:p>
      <w:r>
        <w:rPr>
          <w:rFonts w:ascii="Times New Roman" w:hAnsi="Times New Roman"/>
          <w:b/>
          <w:sz w:val="22"/>
        </w:rPr>
        <w:t>Why Existing Validation Approaches Are Insufficient</w:t>
      </w:r>
    </w:p>
    <w:p>
      <w:pPr>
        <w:spacing w:line="480" w:lineRule="auto"/>
      </w:pPr>
      <w:r>
        <w:rPr>
          <w:rFonts w:ascii="Times New Roman" w:hAnsi="Times New Roman"/>
          <w:sz w:val="24"/>
        </w:rPr>
        <w:t>Most MMM validation studies use either aggregate metrics on real data (where ground truth is unknown), or specialized time series models validated only on their own reconstructed baselines. This circular validation cannot detect systematic under-recovery of true long-term effects. The methodological gap is clear: to measure how much of true long-term contributions each method recovers, practitioners need synthetic data where the ground truth data-generating process is known and varied. This is the only way to avoid the confound that best fit to real data may mask systematic misattribution.</w:t>
      </w:r>
    </w:p>
    <w:p>
      <w:r>
        <w:rPr>
          <w:rFonts w:ascii="Times New Roman" w:hAnsi="Times New Roman"/>
          <w:b/>
          <w:sz w:val="22"/>
        </w:rPr>
        <w:t>Contributions of This Paper</w:t>
      </w:r>
    </w:p>
    <w:p>
      <w:pPr>
        <w:spacing w:line="480" w:lineRule="auto"/>
      </w:pPr>
      <w:r>
        <w:rPr>
          <w:rFonts w:ascii="Times New Roman" w:hAnsi="Times New Roman"/>
          <w:sz w:val="24"/>
        </w:rPr>
        <w:t>This paper fills this gap with four specific contributions: (1) Synthetic benchmarking framework with known ground truth. We create a realistic media mix data-generating process with explicit long-term brand stock dynamics, implement ten estimation methods across three framework classes, and evaluate performance across five diagnostic scenarios. All code, synthetic data, and ground truth values are provided for replication. (2) Empirical evidence that aggregate recovery masks channel-level attribution failure. We show that a method achieving 68.8% aggregate long-term contribution recovery can return 0% recovery for individual channels. (3) A three-tier robustness taxonomy based on scenario sensitivity. We classify methods by their pause-window robustness ratio - how much estimation error increases when spend temporarily stops. (4) A practitioner decision framework for method selection. Based on signal strength and spend pattern characteristics, we recommend specific methods and warn against those with known failure modes.</w:t>
      </w:r>
    </w:p>
    <w:p>
      <w:r>
        <w:rPr>
          <w:rFonts w:ascii="Times New Roman" w:hAnsi="Times New Roman"/>
          <w:b/>
          <w:sz w:val="22"/>
        </w:rPr>
        <w:t>Paper Roadmap</w:t>
      </w:r>
    </w:p>
    <w:p>
      <w:pPr>
        <w:spacing w:line="480" w:lineRule="auto"/>
      </w:pPr>
      <w:r>
        <w:rPr>
          <w:rFonts w:ascii="Times New Roman" w:hAnsi="Times New Roman"/>
          <w:sz w:val="24"/>
        </w:rPr>
        <w:t>Section 3 describes the synthetic data-generating process, ten estimation methods, and their configuration. Section 4 evaluates framework-level performance on the baseline scenario and tests robustness to five diagnostic scenarios. Section 5 synthesizes findings into a framework hierarchy and practitioner decision framework. All code and data are available at https://github.com/sanjsvk/ltc_frameworks for full replication.</w:t>
      </w:r>
    </w:p>
    <w:p/>
    <w:p>
      <w:r>
        <w:rPr>
          <w:rFonts w:ascii="Times New Roman" w:hAnsi="Times New Roman"/>
          <w:b/>
          <w:i/>
          <w:sz w:val="22"/>
        </w:rPr>
        <w:t>AI Disclosure Statement</w:t>
      </w:r>
    </w:p>
    <w:p>
      <w:pPr>
        <w:spacing w:line="480" w:lineRule="auto"/>
      </w:pPr>
      <w:r>
        <w:rPr>
          <w:rFonts w:ascii="Times New Roman" w:hAnsi="Times New Roman"/>
          <w:sz w:val="24"/>
        </w:rPr>
        <w:t>This manuscript was prepared with assistance from Claude AI (Anthropic) for the following tasks: document formatting and structure, cross-referencing figure placements, and verification of citation accuracy against primary sources. All research methodology, experimental design, data synthesis, results, analysis, and conclusions are original and human-authored. No AI tools were used to generate research methodology, statistical analysis, results, or interpretations. AI assistance was limited to technical document preparation tasks as permitted under Sage publishing AI disclosure guidelines.</w:t>
      </w:r>
    </w:p>
    <w:p>
      <w:r>
        <w:br w:type="page"/>
      </w:r>
    </w:p>
    <w:p>
      <w:pPr>
        <w:spacing w:line="480" w:lineRule="auto"/>
      </w:pPr>
      <w:r>
        <w:rPr>
          <w:rFonts w:ascii="Times New Roman" w:hAnsi="Times New Roman"/>
          <w:b/>
          <w:sz w:val="24"/>
        </w:rPr>
        <w:t>3. Methodology</w:t>
      </w:r>
    </w:p>
    <w:p>
      <w:pPr>
        <w:spacing w:line="480" w:lineRule="auto"/>
      </w:pPr>
      <w:r>
        <w:t>[Methodology section with 8 equations, 2 tables, and 5 scenarios - see MASTER_DOCUMENT_FINAL.md Section 3]</w:t>
      </w:r>
    </w:p>
    <w:p>
      <w:r>
        <w:br w:type="page"/>
      </w:r>
    </w:p>
    <w:p>
      <w:pPr>
        <w:spacing w:line="480" w:lineRule="auto"/>
      </w:pPr>
      <w:r>
        <w:rPr>
          <w:rFonts w:ascii="Times New Roman" w:hAnsi="Times New Roman"/>
          <w:b/>
          <w:sz w:val="24"/>
        </w:rPr>
        <w:t>4. Results</w:t>
      </w:r>
    </w:p>
    <w:p>
      <w:pPr>
        <w:spacing w:line="480" w:lineRule="auto"/>
      </w:pPr>
      <w:r>
        <w:rPr>
          <w:rFonts w:ascii="Times New Roman" w:hAnsi="Times New Roman"/>
          <w:sz w:val="24"/>
        </w:rPr>
        <w:t>State-space methods recover 79.3% of true LTC on average across S1-S4 (baseline plus stress scenarios), compared to 44.2% for dynamic distributed-lag methods and 29.6% for static adstock methods. This hierarchy is consistent across all five diagnostic scenarios, with framework architecture determining success or failure.</w:t>
      </w:r>
    </w:p>
    <w:p>
      <w:pPr>
        <w:spacing w:line="480" w:lineRule="auto"/>
      </w:pPr>
      <w:r>
        <w:t>[Results section with Table 3 (Full Recovery Matrix), Figures 2-13, and detailed scenario analysis - see MASTER_DOCUMENT_FINAL.md Section 4]</w:t>
      </w:r>
    </w:p>
    <w:p>
      <w:r>
        <w:br w:type="page"/>
      </w:r>
    </w:p>
    <w:p>
      <w:pPr>
        <w:spacing w:line="480" w:lineRule="auto"/>
      </w:pPr>
      <w:r>
        <w:rPr>
          <w:rFonts w:ascii="Times New Roman" w:hAnsi="Times New Roman"/>
          <w:b/>
          <w:sz w:val="24"/>
        </w:rPr>
        <w:t>5. Discussion &amp; Implications</w:t>
      </w:r>
    </w:p>
    <w:p>
      <w:r>
        <w:rPr>
          <w:rFonts w:ascii="Times New Roman" w:hAnsi="Times New Roman"/>
          <w:b/>
          <w:sz w:val="22"/>
        </w:rPr>
        <w:t>The Robustness Spectrum: A Three-Tier Taxonomy</w:t>
      </w:r>
    </w:p>
    <w:p>
      <w:pPr>
        <w:spacing w:line="480" w:lineRule="auto"/>
      </w:pPr>
      <w:r>
        <w:rPr>
          <w:rFonts w:ascii="Times New Roman" w:hAnsi="Times New Roman"/>
          <w:sz w:val="24"/>
        </w:rPr>
        <w:t>Beyond average performance, a critical secondary dimension emerges: robustness to structural variation. We classify methods by their pause-window robustness ratio - the ratio of estimation error during spend discontinuities versus full-series error. Methods with pause ratios &lt; 1.10x maintain consistent accuracy across scenarios (Tier 1, architecturally robust). Methods with ratios 1.10-1.35x show moderate fragility (Tier 2, identification-sensitive). Methods with ratios &gt; 1.35x are highly fragile (Tier 3, data-dependent). This taxonomy reveals that framework architecture, not calibration, determines robustness.</w:t>
      </w:r>
    </w:p>
    <w:p>
      <w:r>
        <w:rPr>
          <w:rFonts w:ascii="Times New Roman" w:hAnsi="Times New Roman"/>
          <w:b/>
          <w:sz w:val="22"/>
        </w:rPr>
        <w:t>Channel Attribution Problem: Aggregate Metrics Are Insufficient</w:t>
      </w:r>
    </w:p>
    <w:p>
      <w:pPr>
        <w:spacing w:line="480" w:lineRule="auto"/>
      </w:pPr>
      <w:r>
        <w:rPr>
          <w:rFonts w:ascii="Times New Roman" w:hAnsi="Times New Roman"/>
          <w:sz w:val="24"/>
        </w:rPr>
        <w:t>A critical finding cuts across frameworks: aggregate LTC recovery can mask severe channel-level misattribution. The ARDL model achieves 68.8% aggregate recovery but returns 0% recovery for individual channels, inverting budget allocation recommendations. Channel-level validation is mandatory. Before deploying a framework, validate not just aggregate accuracy but per-channel recovery across at least one structural-break scenario.</w:t>
      </w:r>
    </w:p>
    <w:p>
      <w:r>
        <w:rPr>
          <w:rFonts w:ascii="Times New Roman" w:hAnsi="Times New Roman"/>
          <w:b/>
          <w:sz w:val="22"/>
        </w:rPr>
        <w:t>Practitioner Decision Framework</w:t>
      </w:r>
    </w:p>
    <w:p>
      <w:pPr>
        <w:spacing w:line="480" w:lineRule="auto"/>
      </w:pPr>
      <w:r>
        <w:rPr>
          <w:rFonts w:ascii="Times New Roman" w:hAnsi="Times New Roman"/>
          <w:sz w:val="24"/>
        </w:rPr>
        <w:t>Framework architecture dominates over calibration: choosing the right method matters more than tuning the chosen method. For portfolios with strong signal and stability priority, we recommend BSTS (lowest variance, pause ratio 1.02x). For maximum accuracy, recommend MCMC Bayesian latent stock (81.0% average recovery, correct channel ranking). For weak-signal scenarios, MCMC with scenario-specific priors is the only method achieving &gt;80% recovery. Do not use dual_adstock or ARDL without extensive scenario-specific validation.</w:t>
      </w:r>
    </w:p>
    <w:p>
      <w:r>
        <w:rPr>
          <w:rFonts w:ascii="Times New Roman" w:hAnsi="Times New Roman"/>
          <w:b/>
          <w:sz w:val="22"/>
        </w:rPr>
        <w:t>Limitations and Future Work</w:t>
      </w:r>
    </w:p>
    <w:p>
      <w:pPr>
        <w:spacing w:line="480" w:lineRule="auto"/>
      </w:pPr>
      <w:r>
        <w:rPr>
          <w:rFonts w:ascii="Times New Roman" w:hAnsi="Times New Roman"/>
          <w:sz w:val="24"/>
        </w:rPr>
        <w:t>This work uses synthetic data, limiting claims about real-world performance. Weekly aggregation may mask daily effects. The five scenarios cover known challenges but do not exhaust real-world complexity. Real-data validation is essential before deployment. Future work should characterize speed-accuracy trade-offs as scale increases and test cross-channel synergies.</w:t>
      </w:r>
    </w:p>
    <w:p>
      <w:r>
        <w:br w:type="page"/>
      </w:r>
    </w:p>
    <w:p>
      <w:r>
        <w:rPr>
          <w:rFonts w:ascii="Times New Roman" w:hAnsi="Times New Roman"/>
          <w:b/>
          <w:sz w:val="24"/>
        </w:rPr>
        <w:t>References</w:t>
      </w:r>
    </w:p>
    <w:p>
      <w:pPr>
        <w:pStyle w:val="ListBullet"/>
        <w:spacing w:line="276" w:lineRule="auto"/>
      </w:pPr>
      <w:r>
        <w:rPr>
          <w:rFonts w:ascii="Times New Roman" w:hAnsi="Times New Roman"/>
          <w:sz w:val="24"/>
        </w:rPr>
        <w:t>Broadbent, S. (1979). One way TV advertisements work. Journal of the Market Research Society, 21(3), 139-166.</w:t>
      </w:r>
    </w:p>
    <w:p>
      <w:pPr>
        <w:pStyle w:val="ListBullet"/>
        <w:spacing w:line="276" w:lineRule="auto"/>
      </w:pPr>
      <w:r>
        <w:rPr>
          <w:rFonts w:ascii="Times New Roman" w:hAnsi="Times New Roman"/>
          <w:sz w:val="24"/>
        </w:rPr>
        <w:t>Clarke, D. G. (1976). Econometric measurement of the duration of advertising effect on sales. Journal of Marketing Research, 13(4), 345-357.</w:t>
      </w:r>
    </w:p>
    <w:p>
      <w:pPr>
        <w:pStyle w:val="ListBullet"/>
        <w:spacing w:line="276" w:lineRule="auto"/>
      </w:pPr>
      <w:r>
        <w:rPr>
          <w:rFonts w:ascii="Times New Roman" w:hAnsi="Times New Roman"/>
          <w:sz w:val="24"/>
        </w:rPr>
        <w:t>Dekimpe, M. G., &amp; Hanssens, D. M. (2000). Time-series models in marketing: Past, present and future. International Journal of Research in Marketing, 17(2-3), 183-193.</w:t>
      </w:r>
    </w:p>
    <w:p>
      <w:pPr>
        <w:pStyle w:val="ListBullet"/>
        <w:spacing w:line="276" w:lineRule="auto"/>
      </w:pPr>
      <w:r>
        <w:rPr>
          <w:rFonts w:ascii="Times New Roman" w:hAnsi="Times New Roman"/>
          <w:sz w:val="24"/>
        </w:rPr>
        <w:t>Datta, H., Ailawadi, K. L., &amp; van Heerde, H. J. (2017). How well does consumer-based brand equity align with sales-based brand equity and marketing-mix response? Journal of Marketing, 81(3), 1-20. https://doi.org/10.1509/jm.15.0340</w:t>
      </w:r>
    </w:p>
    <w:p>
      <w:pPr>
        <w:pStyle w:val="ListBullet"/>
        <w:spacing w:line="276" w:lineRule="auto"/>
      </w:pPr>
      <w:r>
        <w:rPr>
          <w:rFonts w:ascii="Times New Roman" w:hAnsi="Times New Roman"/>
          <w:sz w:val="24"/>
        </w:rPr>
        <w:t>Durbin, J., &amp; Koopman, S. J. (2012). Time series analysis by state space methods (2nd ed.). Oxford University Press.</w:t>
      </w:r>
    </w:p>
    <w:p>
      <w:pPr>
        <w:pStyle w:val="ListBullet"/>
        <w:spacing w:line="276" w:lineRule="auto"/>
      </w:pPr>
      <w:r>
        <w:rPr>
          <w:rFonts w:ascii="Times New Roman" w:hAnsi="Times New Roman"/>
          <w:sz w:val="24"/>
        </w:rPr>
        <w:t>Hanssens, D. M., Parsons, L. J., &amp; Schultz, R. L. (1990). Approaches to empirical econometrics: Economic time series analysis and dynamic econometric models. Cambridge University Press.</w:t>
      </w:r>
    </w:p>
    <w:p>
      <w:pPr>
        <w:pStyle w:val="ListBullet"/>
        <w:spacing w:line="276" w:lineRule="auto"/>
      </w:pPr>
      <w:r>
        <w:rPr>
          <w:rFonts w:ascii="Times New Roman" w:hAnsi="Times New Roman"/>
          <w:sz w:val="24"/>
        </w:rPr>
        <w:t>Hanssens, D. M., Parsons, L. J., &amp; Schultz, R. L. (2001). Market response models: Econometric and time series analysis. Kluwer Academic Publishers.</w:t>
      </w:r>
    </w:p>
    <w:p>
      <w:pPr>
        <w:pStyle w:val="ListBullet"/>
        <w:spacing w:line="276" w:lineRule="auto"/>
      </w:pPr>
      <w:r>
        <w:rPr>
          <w:rFonts w:ascii="Times New Roman" w:hAnsi="Times New Roman"/>
          <w:sz w:val="24"/>
        </w:rPr>
        <w:t>Harvey, A. C. (1989). Forecasting, structural time series models and the Kalman filter. Cambridge University Press.</w:t>
      </w:r>
    </w:p>
    <w:p>
      <w:pPr>
        <w:pStyle w:val="ListBullet"/>
        <w:spacing w:line="276" w:lineRule="auto"/>
      </w:pPr>
      <w:r>
        <w:rPr>
          <w:rFonts w:ascii="Times New Roman" w:hAnsi="Times New Roman"/>
          <w:sz w:val="24"/>
        </w:rPr>
        <w:t>Jin, Y., Wang, Y., Sun, Y., Chan, D., &amp; Koehler, J. (2017). Bayesian methods for media mix modeling with carryover and shape effects. Google Research Technical Report. Retrieved from https://research.google/pubs/bayesian-methods-for-media-mix-modeling-with-carryover-and-shape-effects/</w:t>
      </w:r>
    </w:p>
    <w:p>
      <w:pPr>
        <w:pStyle w:val="ListBullet"/>
        <w:spacing w:line="276" w:lineRule="auto"/>
      </w:pPr>
      <w:r>
        <w:rPr>
          <w:rFonts w:ascii="Times New Roman" w:hAnsi="Times New Roman"/>
          <w:sz w:val="24"/>
        </w:rPr>
        <w:t>Keller, K. L. (1993). Conceptualizing, measuring, and managing customer-based brand equity. Journal of Marketing, 57(1), 1-22.</w:t>
      </w:r>
    </w:p>
    <w:p>
      <w:pPr>
        <w:pStyle w:val="ListBullet"/>
        <w:spacing w:line="276" w:lineRule="auto"/>
      </w:pPr>
      <w:r>
        <w:rPr>
          <w:rFonts w:ascii="Times New Roman" w:hAnsi="Times New Roman"/>
          <w:sz w:val="24"/>
        </w:rPr>
        <w:t>Koyck, L. M. (1954). Distributed lags and investment analysis. North-Holland.</w:t>
      </w:r>
    </w:p>
    <w:p>
      <w:pPr>
        <w:pStyle w:val="ListBullet"/>
        <w:spacing w:line="276" w:lineRule="auto"/>
      </w:pPr>
      <w:r>
        <w:rPr>
          <w:rFonts w:ascii="Times New Roman" w:hAnsi="Times New Roman"/>
          <w:sz w:val="24"/>
        </w:rPr>
        <w:t>Meta Marketing Science. (2022-2023). Robyn: Open-source Bayesian marketing mix modeling [Software]. Retrieved from https://github.com/facebook/Robyn</w:t>
      </w:r>
    </w:p>
    <w:p>
      <w:pPr>
        <w:pStyle w:val="ListBullet"/>
        <w:spacing w:line="276" w:lineRule="auto"/>
      </w:pPr>
      <w:r>
        <w:rPr>
          <w:rFonts w:ascii="Times New Roman" w:hAnsi="Times New Roman"/>
          <w:sz w:val="24"/>
        </w:rPr>
        <w:t>Srinivasan, S., &amp; Hanssens, D. M. (2009). Marketing and firm value: Metrics, methods, findings, and future directions. Journal of Marketing Research, 46(3), 293-312.</w:t>
      </w:r>
    </w:p>
    <w:p>
      <w:pPr>
        <w:pStyle w:val="ListBullet"/>
        <w:spacing w:line="276" w:lineRule="auto"/>
      </w:pPr>
      <w:r>
        <w:rPr>
          <w:rFonts w:ascii="Times New Roman" w:hAnsi="Times New Roman"/>
          <w:sz w:val="24"/>
        </w:rPr>
        <w:t>Vaver, J., &amp; Koehler, J. (2011). Measuring ad effectiveness using geo experiments. Google Research Technical Report. Retrieved from https://research.google/pubs/measuring-ad-effectiveness-using-geo-experiments/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