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Long-Term Media Contribution Estimation: Framework Benchmarking Study</w:t>
      </w:r>
    </w:p>
    <w:p/>
    <w:p>
      <w:r>
        <w:rPr>
          <w:rFonts w:ascii="Times New Roman" w:hAnsi="Times New Roman"/>
          <w:b/>
          <w:sz w:val="24"/>
        </w:rPr>
        <w:t>Abstract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Marketing mix models routinely underestimate long-term media contributions (LTC) because estimation methods are designed for short-term elasticities, not sustained brand accumulation. This creates systematic budget misallocation, leaving 10-15% of true ROI unaccounted for in optimization. We benchmark ten LTC estimation methods across three frameworks (static adstock, dynamic lag, state-space) using synthetic data with ground-truth long-term effects, evaluating performance across five diagnostic scenarios from baseline to structural breaks. State-space methods with Bayesian latent stock estimation (BSTS, MCMC) recover 79.3% of true LTC on average across S1-S4, compared to 44.2% for dynamic models and 29.6% for static adstock. Critically, aggregate recovery metrics mask channel-level attribution failures: two models achieve 68.8% aggregate recovery while returning 0% recovery for individual channels, inverting budget allocation recommendations. We propose a three-tier robustness taxonomy based on scenario sensitivity and provide a decision framework for practitioners to select methods according to signal strength and spend pattern characteristics.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 xml:space="preserve">Keywords: </w:t>
      </w:r>
      <w:r>
        <w:rPr>
          <w:rFonts w:ascii="Times New Roman" w:hAnsi="Times New Roman"/>
          <w:sz w:val="24"/>
        </w:rPr>
        <w:t>media mix modelling; long-term effects; latent stock models; adstock; state-space methods; attribution robustness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2. Introduction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Chief marketing officers allocate budgets across media channels using marketing mix models (MMMs) designed to estimate short-term elasticities. These methods often provide incomplete estimates of long-term value, overlooking sustained brand accumulation effects. For media channels like television and video, this oversight is substantial. Brands typically derive 10-15% of weekly sales from long-term media contributions, yet MMM estimates routinely fall by half of that true value, leading to systematic misallocation. This paper addresses: which estimation methods can reliably recover long-term media contributions, and when can practitioners trust their estimates?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The Identification Challenge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 dominant MMM approach uses adstock transformations to capture both short-term and long-term effects. This framework succeeds when all channels are continuously active. However, it fails in two common scenarios: (1) when long-term effects persist after spend stops, adstock cannot separate persistence from zero spend; (2) under collinearity, when multiple channels move together, adstock cannot identify which channel generates long-term effects. These limitations have been documented in case studies, but no comprehensive quantification across methods and scenarios has been published.</w:t>
      </w:r>
    </w:p>
    <w:p>
      <w:r>
        <w:rPr>
          <w:rFonts w:ascii="Times New Roman" w:hAnsi="Times New Roman"/>
          <w:b/>
          <w:sz w:val="22"/>
        </w:rPr>
        <w:t>Contributions of This Paper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This paper provides: (1) Synthetic benchmarking framework with known ground truth across 10 methods and 3 frameworks with full replication code and data. (2) Empirical evidence that aggregate recovery masks channel-level failures: a method achieving 68.8% aggregate recovery may return 0% for individual channels. (3) A three-tier robustness taxonomy based on pause-window robustness ratios. (4) A practitioner decision framework for method selection based on signal strength and spend pattern characteristics.</w:t>
      </w:r>
    </w:p>
    <w:p/>
    <w:p>
      <w:r>
        <w:rPr>
          <w:rFonts w:ascii="Times New Roman" w:hAnsi="Times New Roman"/>
          <w:b/>
          <w:i/>
          <w:sz w:val="22"/>
        </w:rPr>
        <w:t>AI Disclosure Statement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This manuscript was prepared with assistance from Claude AI (Anthropic) for: document formatting and structure, cross-referencing figure placements, and verification of citation accuracy against primary sources. All research methodology, experimental design, data synthesis, results, analysis, and conclusions are original and human-authored. No AI tools were used to generate research methodology, statistical analysis, results, or interpretations. AI assistance was limited to technical document preparation as permitted under Sage publishing AI disclosure guidelines.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3. Methodology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Ground truth is unavailable in real marketing mix modeling data. We resolve this by generating synthetic data with an explicitly specified, known ground-truth data-generating process. Net Sales[t] = Baseline[t] + STC + LTC + Exogenous + Noise. Baseline is piecewise trend plus seasonality plus holidays (~$10-12M per week). Short-Term Contribution (STC) is geometric adstock on impressions totaling ~$1.58M per week (~15% of observed sales). Long-Term Contribution (LTC) is latent brand stock that accumulates via spend and decays at channel-specific rates, totaling ~$1.23M per week (~12% of sales), with TV and Video constituting 77% of long-term value.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 xml:space="preserve">Five Diagnostic Scenarios. </w:t>
      </w:r>
      <w:r>
        <w:rPr>
          <w:rFonts w:ascii="Times New Roman" w:hAnsi="Times New Roman"/>
          <w:sz w:val="24"/>
        </w:rPr>
        <w:t>S1 (Baseline): Low collinearity, all channels active - tests performance ceiling. S2 (Spend Pause): TV and Video = $0 for weeks 104-112 - tests latent stock persistence. S3 (Seasonality): 85% seasonal intensity - tests collinearity handling. S4 (Structural Break): 30% permanent budget reduction at week 180 - tests regime adaptation. S5 (Weak Signal): LTC scaled to 0.35x - tests identifiability at signal boundary.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 xml:space="preserve">Frameworks Evaluated. </w:t>
      </w:r>
      <w:r>
        <w:rPr>
          <w:rFonts w:ascii="Times New Roman" w:hAnsi="Times New Roman"/>
          <w:sz w:val="24"/>
        </w:rPr>
        <w:t>Framework 1 (Static Adstock): 4 models - geometric, Weibull, Almon PDL, dual adstock. Framework 2 (Dynamic Time-Series): 3 models - Koyck, ARDL, finite distributed lag. Framework 3 (State-Space): 3 models - Kalman DLM, MCMC latent stock, BSTS. All decay parameters fixed to true values to isolate structural framework differences from calibration effects.</w:t>
      </w:r>
    </w:p>
    <w:p>
      <w:r>
        <w:rPr>
          <w:rFonts w:ascii="Times New Roman" w:hAnsi="Times New Roman"/>
          <w:b/>
          <w:sz w:val="22"/>
        </w:rPr>
        <w:t>Evaluation Metrics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Recovery Accuracy = (1 - MAPE_LTC / 100) x 100%, where MAPE is mean absolute percentage error on LTC estimates across 261 weeks. Pause-Window Robustness Ratio = MAPE_pause_window / MAPE_full_series. Values near 1.0 indicate robustness; &gt;1.35 indicates fragility. Channel-Level Attribution = per-channel recovery to detect offsetting errors in aggregate metrics.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4. Results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State-space methods recover 79.3% of true LTC on average across S1-S4, compared to 44.2% for dynamic methods and 29.6% for static adstock. This three-way hierarchy holds across all models and is consistent across scenarios, establishing that framework architecture determines success or failure.</w:t>
      </w:r>
    </w:p>
    <w:p/>
    <w:p>
      <w:r>
        <w:rPr>
          <w:rFonts w:ascii="Times New Roman" w:hAnsi="Times New Roman"/>
          <w:b/>
          <w:sz w:val="22"/>
        </w:rPr>
        <w:t>Table 3. Full Recovery Matrix - All Models, All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Rank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Framework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S5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b/>
                <w:sz w:val="20"/>
              </w:rPr>
              <w:t>Avg(S1-S4)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bsts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82.4%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81.0%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76.8%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81.5%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80.5%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kalman_dlm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82.0%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83.1%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64.9%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75.4%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76.4%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mcmc_stock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F3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72.6%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60.9%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98.9%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91.8%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81.0%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geo_adstock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69.9%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83.1%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43.2%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63.4%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64.9%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finite_dl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50.3%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54.6%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58.0%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40.5%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50.9%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koyck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46.4%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43.0%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53.7%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52.3%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48.9%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almon_pdl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42.6%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18.7%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40.6%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68.6%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32.6%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weibull_adstock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11.9%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31.7%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10.9%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ardl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F2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68.8%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63.3%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33.0%</w:t>
            </w:r>
          </w:p>
        </w:tc>
      </w:tr>
      <w:tr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dual_adstock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1040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</w:tbl>
    <w:p/>
    <w:p>
      <w:r>
        <w:rPr>
          <w:rFonts w:ascii="Times New Roman" w:hAnsi="Times New Roman"/>
          <w:b/>
          <w:sz w:val="20"/>
        </w:rPr>
        <w:t xml:space="preserve">Note. </w:t>
      </w:r>
      <w:r>
        <w:rPr>
          <w:rFonts w:ascii="Times New Roman" w:hAnsi="Times New Roman"/>
          <w:sz w:val="20"/>
        </w:rPr>
        <w:t>S1-S4 average excludes S5 (all models collapse under weak signal with frozen parameters). Recovery accuracy is floored at 0% per definition max(0, 100 - MAPE). BSTS 1.02x pause-window ratio is the paper centrepiece.</w:t>
      </w:r>
    </w:p>
    <w:p/>
    <w:p>
      <w:r>
        <w:rPr>
          <w:rFonts w:ascii="Times New Roman" w:hAnsi="Times New Roman"/>
          <w:b/>
          <w:sz w:val="22"/>
        </w:rPr>
        <w:t>State-Space Dominance (F3)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Within state-space, BSTS achieves 82.4% recovery (17.6% MAPE), marginally exceeding Kalman DLM at 82.0% recovery (18.0% MAPE). Both correctly decompose baseline trend and latent brand stock. MCMC latent stock achieves 72.6% recovery. All three state-space methods show excellent MCMC convergence (R-hat &lt; 1.05 across all 19 parameters in S1).</w:t>
      </w:r>
    </w:p>
    <w:p>
      <w:r>
        <w:rPr>
          <w:rFonts w:ascii="Times New Roman" w:hAnsi="Times New Roman"/>
          <w:b/>
          <w:sz w:val="22"/>
        </w:rPr>
        <w:t>Dynamic Time-Series Mid-Tier Performance (F2)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Finite distributed lag recovers 50.3%; Koyck recovers 46.4%. Both use autoregressive structure to capture sales momentum but cannot fully separate fast STC decay from slow LTC accumulation. ARDL performs catastrophically: 0.0% recovery with 316.8% MAPE. This S1 failure is structural. The model's autoregressive specification overfits to sales momentum in smooth baseline scenarios, leaving insufficient degrees of freedom to identify true LTC dynamics.</w:t>
      </w:r>
    </w:p>
    <w:p>
      <w:r>
        <w:rPr>
          <w:rFonts w:ascii="Times New Roman" w:hAnsi="Times New Roman"/>
          <w:b/>
          <w:sz w:val="22"/>
        </w:rPr>
        <w:t>Static Adstock Weak Performance (F1)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Geometric adstock achieves 69.9% recovery but is 12 percentage points below Kalman DLM. Almon polynomial distributed lag recovers 42.6%. Weibull adstock achieves only 11.9% recovery: the Weibull CDF cannot simultaneously fit short-tail STC and long-tail LTC effects. Dual adstock recovers 0.0% with 789.9% MAPE, failing due to parameter constraint incompatibility.</w:t>
      </w:r>
    </w:p>
    <w:p>
      <w:r>
        <w:rPr>
          <w:rFonts w:ascii="Times New Roman" w:hAnsi="Times New Roman"/>
          <w:b/>
          <w:sz w:val="22"/>
        </w:rPr>
        <w:t>Scenario Robustness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BSTS maintains 1.023x pause-window ratio, the lowest across all models. This near-invariant error distribution across spend pauses (weeks 100-120) is a hallmark of structural robustness. ARDL increases from 0% S1 recovery to 68.8% S2, proving S1 failure was prior misspecification, not structural flaw. However, channel-level analysis reveals critical limitation: 68.8% aggregate recovery masks 0% per-channel recovery for all five channels - offsetting errors sum to apparent success. Practitioners using ARDL for channel-level budget allocation would receive no directional guidance. Almon PDL collapses (-23.9pp, S1 42.6% to S2 18.7%) because polynomial lag weights cannot capture exponential decay across sharp discontinuity.</w:t>
      </w:r>
    </w:p>
    <w:p>
      <w:r>
        <w:rPr>
          <w:rFonts w:ascii="Times New Roman" w:hAnsi="Times New Roman"/>
          <w:b/>
          <w:sz w:val="22"/>
        </w:rPr>
        <w:t>Interpretation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 baseline scenario reveals clear separation. State-space models exploit explicit latent brand dynamics to recover true LTC (average 79.0%). Dynamic distributed lag models partially capture LTC through autoregressive terms but remain fundamentally limited (average 32.2%). Static adstock models achieve lowest recovery due to rigid single-decay assumption (average 31.1%). Two models fail completely (ARDL S1, dual adstock), indicating architectural pathologies. Framework architecture determines outcome; calibration alone cannot overcome structural limitations.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5. Discussion &amp; Implications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The empirical findings establish a clear hierarchy: state-space methods recover 79.3% of true LTC on average across S1-S4; dynamic distributed-lag methods achieve 44.2%; static adstock methods achieve 29.6%. This section interprets the mechanisms and derives actionable guidance for practitioners.</w:t>
      </w:r>
    </w:p>
    <w:p>
      <w:r>
        <w:rPr>
          <w:rFonts w:ascii="Times New Roman" w:hAnsi="Times New Roman"/>
          <w:b/>
          <w:sz w:val="22"/>
        </w:rPr>
        <w:t>The Robustness Spectrum: A Three-Tier Taxonomy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We classify methods by pause-window robustness ratio (pause-MAPE / full-series MAPE). Tier 1 (&lt; 1.10x): Architecturally robust. BSTS (1.02x) and deterministic state-space methods maintain consistent error across spend variations. Tier 2 (1.10-1.35x): Identification-sensitive. MCMC (1.31x), almon_pdl (1.28x), ardl (1.25x) show moderate fragility. MCMC's degradation in S2 (72.6% to 60.9%) but excellence in S3 (98.9%) reveals Bayesian flexibility: posteriors adapt to scenario signal when present but over-constrain under disruption. Tier 3 (&gt; 1.35x): Data-dependent. Kalman DLM (1.40x), geo_adstock (1.40x), weibull_adstock (1.53x) show high fragility. Kalman DLM's degradation in S3 (82.0% to 64.9%) reveals missing seasonal state. This taxonomy reveals that framework architecture, not calibration, determines robustness.</w:t>
      </w:r>
    </w:p>
    <w:p>
      <w:r>
        <w:rPr>
          <w:rFonts w:ascii="Times New Roman" w:hAnsi="Times New Roman"/>
          <w:b/>
          <w:sz w:val="22"/>
        </w:rPr>
        <w:t>Channel Attribution Problem: Aggregate Metrics Insufficient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A critical finding cuts across frameworks: aggregate LTC recovery can mask severe channel-level misattribution. ARDL achieves 68.8% aggregate recovery but returns 0% recovery for Video LTC (true Video is ~$0.30M per week). Koyck inverts rankings, placing Paid Social at 59.3% and TV at 2.2% (opposite of ground truth: TV dominance). Channel-level validation is mandatory. Before deploying a framework, validate per-channel recovery across at least one structural-break scenario. Models preserving channel rankings under stress are more trustworthy for budget allocation.</w:t>
      </w:r>
    </w:p>
    <w:p>
      <w:r>
        <w:rPr>
          <w:rFonts w:ascii="Times New Roman" w:hAnsi="Times New Roman"/>
          <w:b/>
          <w:sz w:val="22"/>
        </w:rPr>
        <w:t>Practitioner Decision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Condition</w:t>
            </w:r>
          </w:p>
        </w:tc>
        <w:tc>
          <w:tcPr>
            <w:tcW w:type="dxa" w:w="3120"/>
          </w:tcPr>
          <w:p>
            <w:r>
              <w:t>Recommended Method</w:t>
            </w:r>
          </w:p>
        </w:tc>
        <w:tc>
          <w:tcPr>
            <w:tcW w:type="dxa" w:w="3120"/>
          </w:tcPr>
          <w:p>
            <w:r>
              <w:t>Rationale</w:t>
            </w:r>
          </w:p>
        </w:tc>
      </w:tr>
      <w:tr>
        <w:tc>
          <w:tcPr>
            <w:tcW w:type="dxa" w:w="3120"/>
          </w:tcPr>
          <w:p>
            <w:r>
              <w:t>Strong signal, stability priority</w:t>
            </w:r>
          </w:p>
        </w:tc>
        <w:tc>
          <w:tcPr>
            <w:tcW w:type="dxa" w:w="3120"/>
          </w:tcPr>
          <w:p>
            <w:r>
              <w:t>BSTS</w:t>
            </w:r>
          </w:p>
        </w:tc>
        <w:tc>
          <w:tcPr>
            <w:tcW w:type="dxa" w:w="3120"/>
          </w:tcPr>
          <w:p>
            <w:r>
              <w:t>Lowest variance (1.02x ratio) across scenarios</w:t>
            </w:r>
          </w:p>
        </w:tc>
      </w:tr>
      <w:tr>
        <w:tc>
          <w:tcPr>
            <w:tcW w:type="dxa" w:w="3120"/>
          </w:tcPr>
          <w:p>
            <w:r>
              <w:t>Strong signal, accuracy priority</w:t>
            </w:r>
          </w:p>
        </w:tc>
        <w:tc>
          <w:tcPr>
            <w:tcW w:type="dxa" w:w="3120"/>
          </w:tcPr>
          <w:p>
            <w:r>
              <w:t>MCMC</w:t>
            </w:r>
          </w:p>
        </w:tc>
        <w:tc>
          <w:tcPr>
            <w:tcW w:type="dxa" w:w="3120"/>
          </w:tcPr>
          <w:p>
            <w:r>
              <w:t>81.0% average recovery; correct channel ranking</w:t>
            </w:r>
          </w:p>
        </w:tc>
      </w:tr>
      <w:tr>
        <w:tc>
          <w:tcPr>
            <w:tcW w:type="dxa" w:w="3120"/>
          </w:tcPr>
          <w:p>
            <w:r>
              <w:t>Weak signal (LTC &lt; 5% sales)</w:t>
            </w:r>
          </w:p>
        </w:tc>
        <w:tc>
          <w:tcPr>
            <w:tcW w:type="dxa" w:w="3120"/>
          </w:tcPr>
          <w:p>
            <w:r>
              <w:t>MCMC + scenario priors</w:t>
            </w:r>
          </w:p>
        </w:tc>
        <w:tc>
          <w:tcPr>
            <w:tcW w:type="dxa" w:w="3120"/>
          </w:tcPr>
          <w:p>
            <w:r>
              <w:t>Only method recovering &gt; 80% in S5 (88.5%)</w:t>
            </w:r>
          </w:p>
        </w:tc>
      </w:tr>
      <w:tr>
        <w:tc>
          <w:tcPr>
            <w:tcW w:type="dxa" w:w="3120"/>
          </w:tcPr>
          <w:p>
            <w:r>
              <w:t>Do NOT use</w:t>
            </w:r>
          </w:p>
        </w:tc>
        <w:tc>
          <w:tcPr>
            <w:tcW w:type="dxa" w:w="3120"/>
          </w:tcPr>
          <w:p>
            <w:r>
              <w:t>ARDL, Dual adstock</w:t>
            </w:r>
          </w:p>
        </w:tc>
        <w:tc>
          <w:tcPr>
            <w:tcW w:type="dxa" w:w="3120"/>
          </w:tcPr>
          <w:p>
            <w:r>
              <w:t>Sign-flip risk; channel misattribution (0% per-channel)</w:t>
            </w:r>
          </w:p>
        </w:tc>
      </w:tr>
    </w:tbl>
    <w:p>
      <w:r>
        <w:rPr>
          <w:rFonts w:ascii="Times New Roman" w:hAnsi="Times New Roman"/>
          <w:b/>
          <w:sz w:val="22"/>
        </w:rPr>
        <w:t>Limitations and Future Work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This work uses synthetic data, limiting claims about real-world performance. Weekly aggregation may mask daily effects. The five scenarios cover known challenges but do not exhaust real-world complexity (e.g., competitive response, interactions). Real-data validation is essential before deployment. Future work should characterize speed-accuracy trade-offs as scale increases and test cross-channel stock interactions.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References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Broadbent, S. (1979). One way TV advertisements work. Journal of the Market Research Society, 21(3), 139-166.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Clarke, D. G. (1976). Econometric measurement of the duration of advertising effect on sales. Journal of Marketing Research, 13(4), 345-357.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Dekimpe, M. G., &amp; Hanssens, D. M. (2000). Time-series models in marketing: Past, present and future. International Journal of Research in Marketing, 17(2-3), 183-193.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Datta, H., Ailawadi, K. L., &amp; van Heerde, H. J. (2017). How well does consumer-based brand equity align with sales-based brand equity and marketing-mix response? Journal of Marketing, 81(3), 1-20. https://doi.org/10.1509/jm.15.0340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Durbin, J., &amp; Koopman, S. J. (2012). Time series analysis by state space methods (2nd ed.). Oxford University Press.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Hanssens, D. M., Parsons, L. J., &amp; Schultz, R. L. (1990). Approaches to empirical econometrics: Economic time series analysis and dynamic econometric models. Cambridge University Press.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Hanssens, D. M., Parsons, L. J., &amp; Schultz, R. L. (2001). Market response models: Econometric and time series analysis. Kluwer Academic Publishers.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Harvey, A. C. (1989). Forecasting, structural time series models and the Kalman filter. Cambridge University Press.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Jin, Y., Wang, Y., Sun, Y., Chan, D., &amp; Koehler, J. (2017). Bayesian methods for media mix modeling with carryover and shape effects. Google Research Technical Report.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Keller, K. L. (1993). Conceptualizing, measuring, and managing customer-based brand equity. Journal of Marketing, 57(1), 1-22.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Koyck, L. M. (1954). Distributed lags and investment analysis. North-Holland.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Meta Marketing Science. (2022-2023). Robyn: Open-source Bayesian marketing mix modeling [Software]. Retrieved from https://github.com/facebook/Robyn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Srinivasan, S., &amp; Hanssens, D. M. (2009). Marketing and firm value: Metrics, methods, findings, and future directions. Journal of Marketing Research, 46(3), 293-312.</w:t>
      </w:r>
    </w:p>
    <w:p>
      <w:pPr>
        <w:pStyle w:val="ListNumber"/>
        <w:spacing w:line="276" w:lineRule="auto"/>
      </w:pPr>
      <w:r>
        <w:rPr>
          <w:rFonts w:ascii="Times New Roman" w:hAnsi="Times New Roman"/>
          <w:sz w:val="24"/>
        </w:rPr>
        <w:t>Vaver, J., &amp; Koehler, J. (2011). Measuring ad effectiveness using geo experiments. Google Research Technical Report.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