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Long-Term Media Contribution Estimation: Framework Benchmarking Study</w:t>
      </w:r>
    </w:p>
    <w:p/>
    <w:p/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[Author Name]</w:t>
        <w:br/>
        <w:t>[Institution]</w:t>
        <w:br/>
        <w:t>[Address]</w:t>
        <w:br/>
        <w:t>[Phone]</w:t>
        <w:br/>
        <w:t>[Email]</w:t>
      </w:r>
    </w:p>
    <w:p/>
    <w:p/>
    <w:p>
      <w:r>
        <w:rPr>
          <w:rFonts w:ascii="Times New Roman" w:hAnsi="Times New Roman"/>
          <w:b/>
          <w:sz w:val="24"/>
        </w:rPr>
        <w:t>Acknowledgments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[Author acknowledgments and funding information]</w:t>
      </w:r>
    </w:p>
    <w:p/>
    <w:p/>
    <w:p>
      <w:r>
        <w:rPr>
          <w:rFonts w:ascii="Times New Roman" w:hAnsi="Times New Roman"/>
          <w:b/>
          <w:sz w:val="24"/>
        </w:rPr>
        <w:t>Declarations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Declaration of conflicting interest: </w:t>
      </w:r>
      <w:r>
        <w:rPr>
          <w:rFonts w:ascii="Times New Roman" w:hAnsi="Times New Roman"/>
          <w:sz w:val="24"/>
        </w:rPr>
        <w:t>The author declares no conflicts of interest.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Funding: </w:t>
      </w:r>
      <w:r>
        <w:rPr>
          <w:rFonts w:ascii="Times New Roman" w:hAnsi="Times New Roman"/>
          <w:sz w:val="24"/>
        </w:rPr>
        <w:t>[Funding information if applicable]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Data availability: </w:t>
      </w:r>
      <w:r>
        <w:rPr>
          <w:rFonts w:ascii="Times New Roman" w:hAnsi="Times New Roman"/>
          <w:sz w:val="24"/>
        </w:rPr>
        <w:t>Synthetic data and code available at https://github.com/sanjsvk/ltc_frameworks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