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Analysis – Key Insights</w:t>
      </w:r>
    </w:p>
    <w:p>
      <w:pPr>
        <w:pStyle w:val="ListNumber"/>
      </w:pPr>
      <w:r>
        <w:t>Technology category in the East region contributes the highest share of total sales (11.63%), making it the strongest revenue driver.</w:t>
      </w:r>
    </w:p>
    <w:p>
      <w:pPr>
        <w:pStyle w:val="ListNumber"/>
      </w:pPr>
      <w:r>
        <w:t>The West region shows consistently strong performance across all product categories, indicating a stable and mature market.</w:t>
      </w:r>
    </w:p>
    <w:p>
      <w:pPr>
        <w:pStyle w:val="ListNumber"/>
      </w:pPr>
      <w:r>
        <w:t>The South region contributes the least to total sales across categories, highlighting a need for focused business strategies.</w:t>
      </w:r>
    </w:p>
    <w:p>
      <w:pPr>
        <w:pStyle w:val="ListNumber"/>
      </w:pPr>
      <w:r>
        <w:t>Technology outperforms Furniture and Office Supplies in every region, confirming it as the most impactful category.</w:t>
      </w:r>
    </w:p>
    <w:p>
      <w:pPr>
        <w:pStyle w:val="ListNumber"/>
      </w:pPr>
      <w:r>
        <w:t>The Central region demonstrates moderate and balanced sales contribution, suggesting scope for expansion through targeted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