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Defendant's Response to Requests for Production</w:t>
      </w:r>
    </w:p>
    <w:p>
      <w:r>
        <w:t>PRELIMINARY STATEMENT. Defendant responds to Plaintiff's First Requests for Production.</w:t>
      </w:r>
    </w:p>
    <w:p>
      <w:r>
        <w:t>1. GENERAL OBJECTIONS. Defendant objects to each request to the extent it seeks information protected by the attorney-client privilege, work product doctrine, or any other applicable privilege or protection.</w:t>
      </w:r>
    </w:p>
    <w:p>
      <w:r>
        <w:t>2. PRODUCTION. Subject to and without waiving the foregoing objections, Defendant will produce all responsive, non-privileged documents in its possession, custody, or control as they are reasonably located and identified.</w:t>
      </w:r>
    </w:p>
    <w:p>
      <w:r>
        <w:t>3. PRIVILEGE LOG. Documents withheld on grounds of privilege or protection will be identified in a privilege log produced concurrently with or prior to the production of documents.</w:t>
      </w:r>
    </w:p>
    <w:p>
      <w:r>
        <w:t>4. RESERVATION OF RIGHTS. Defendant expressly reserves the right to supplement, amend, or supplement this response if additional information becomes available or circumstances change.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Internal note — client's bottom line is the lowest monthly rent the Landlord will accept: USD 105,000. Figure: 105000. Do not let the other side see this.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Defendant's Response to Requests for Production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