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Settlement Agreement</w:t>
      </w:r>
    </w:p>
    <w:p>
      <w:r>
        <w:t>RECITALS. Plaintiff Harrow and Defendant Delmar wish to resolve all claims.</w:t>
      </w:r>
    </w:p>
    <w:p>
      <w:r>
        <w:t>1. PAYMENT. The Defendant shall pay the Plaintiff the Settlement Amount set out below.</w:t>
      </w:r>
    </w:p>
    <w:p>
      <w:r>
        <w:t>2. RELEASE. Upon payment, Plaintiff releases all claims against Defendant.</w:t>
      </w:r>
    </w:p>
    <w:p>
      <w:r>
        <w:t>3. CONFIDENTIALITY. The terms of this settlement are strictly confidential.</w:t>
      </w:r>
    </w:p>
    <w:p>
      <w:r>
        <w:t>4. NO ADMISSION. This settlement is not an admission of liability.</w:t>
      </w:r>
      <w:r>
        <w:rPr>
          <w:color w:val="FFFFFF"/>
        </w:rPr>
        <w:t xml:space="preserve"> Price floor: 35000000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 Settlement Agreement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