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the financial statements are accurate.</w:t>
      </w:r>
    </w:p>
    <w:p>
      <w:r>
        <w:t>4. Confidentiality. All terms and conditions of this Agreement, including the Purchase Price and any ancillary agreements, shall be kept strictly confidential by the parties, including any internal strategic notes or pricing information such as price floors, except as required by law or agreed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