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del w:author="Drafting Associate" w:id="0" w:date="2026-01-01T00:00:00Z">
        <w:r>
          <w:delText xml:space="preserve">USD 28,500,000 floor</w:delText>
        </w:r>
      </w:del>
    </w:p>
    <w:p>
      <w:r>
        <w:t>2. Closing. Closing shall occur within 30 days of signing or such later date as mutually agreed by the parties to accommodate completion of due diligence.</w:t>
      </w:r>
    </w:p>
    <w:p>
      <w:r>
        <w:t>3. Representations. The Seller represents that the financial statements are accurate, complete, and that no material adverse change has occurred since the date of such financial statements.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28,500,000</vt:lpwstr>
  </property>
</Properties>
</file>