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at which time the Seller shall deliver to the Buyer all Shares, duly endorsed stock certificates, and all necessary transfer documents in proper form, subject to satisfaction of all closing conditions.</w:t>
      </w:r>
    </w:p>
    <w:p>
      <w:r>
        <w:t>3. Representations. The Seller represents and warrants that the financial statements provided to the Buyer fairly present, in all material respects, the financial condition of the Company as of their respective dates, and that there are no undisclosed liabilities, obligations, or contingencies that would have a material adverse effect on the Company’s operations or financial condition.</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